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ZKG — Betrieb einer Vergleichswebsite für Zahlungskonten durch die Bundesanstalt</w:t>
      </w:r>
    </w:p>
    <w:p>
      <w:r>
        <w:rPr>
          <w:color w:val="555555"/>
          <w:sz w:val="18"/>
        </w:rPr>
        <w:t xml:space="preserve">Zahlungskontengesetz</w:t>
      </w:r>
    </w:p>
    <w:p>
      <w:r>
        <w:rPr>
          <w:color w:val="555555"/>
          <w:sz w:val="18"/>
        </w:rPr>
        <w:t xml:space="preserve">Stand: 16.12.2023 (konsolidierte Textfassung, kein amtliches Inkrafttretensdatum)</w:t>
      </w:r>
    </w:p>
    <w:p>
      <w:r>
        <w:t xml:space="preserve">Die Bundesanstalt betreibt eine Vergleichswebsite, die die in § 17 genannten Kriterien in der in § 18 vorgeschriebenen Art und Weise für den Verbraucher entgeltfrei vergleicht. Diese trägt die Bezeichnung „Vergleichswebsite nach dem Zahlungskontengesetz“.</w:t>
      </w:r>
    </w:p>
    <w:p>
      <w:r>
        <w:rPr>
          <w:color w:val="555555"/>
          <w:sz w:val="17"/>
        </w:rPr>
        <w:t xml:space="preserve">Zitiervorschlag: § 16 ZKG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https://recht.nulegal.eu/gesetze/ZKG/16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