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ZKG — Allgemeine Verwendung der standardisierten Zahlungskontenterminologie</w:t>
      </w:r>
    </w:p>
    <w:p>
      <w:r>
        <w:rPr>
          <w:color w:val="555555"/>
          <w:sz w:val="18"/>
        </w:rPr>
        <w:t xml:space="preserve">Zahlungskontengesetz</w:t>
      </w:r>
    </w:p>
    <w:p>
      <w:r>
        <w:rPr>
          <w:color w:val="555555"/>
          <w:sz w:val="18"/>
        </w:rPr>
        <w:t xml:space="preserve">Stand: 10.06.2019 (konsolidierte Textfassung, kein amtliches Inkrafttretensdatum)</w:t>
      </w:r>
    </w:p>
    <w:p>
      <w:r>
        <w:t xml:space="preserve">Ein Zahlungsdienstleister, der sich öffentlich zur Führung von Zahlungskonten für Verbraucher erboten hat, hat die standardisierte Zahlungskontenterminologie auch für die Bezeichnung der maßgeblichen Zahlungskontendienste in anderen für Verbraucher bestimmten Informationen als der Entgeltinformation und der Entgeltaufstellung zu verwenden. Andere Bezeichnungen dürfen in diesen anderen Informationen für diese Dienste des Zahlungsdienstleisters nur dann verwendet werden, wenn der Zahlungsdienstleister zusätzlich eindeutig angibt, mit welchen Begriffen aus der standardisierten Zahlungskontenterminologie die betreffenden Dienste bezeichnet werden.</w:t>
      </w:r>
    </w:p>
    <w:p>
      <w:r>
        <w:rPr>
          <w:color w:val="555555"/>
          <w:sz w:val="17"/>
        </w:rPr>
        <w:t xml:space="preserve">Zitiervorschlag: § 15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