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ZKG — Allgemeine Informationspflichten der Zahlungsdienstleister</w:t>
      </w:r>
    </w:p>
    <w:p>
      <w:r>
        <w:rPr>
          <w:color w:val="555555"/>
          <w:sz w:val="18"/>
        </w:rPr>
        <w:t xml:space="preserve">Zahlungskontengesetz</w:t>
      </w:r>
    </w:p>
    <w:p>
      <w:r>
        <w:rPr>
          <w:color w:val="555555"/>
          <w:sz w:val="18"/>
        </w:rPr>
        <w:t xml:space="preserve">Stand: 10.06.2019 (konsolidierte Textfassung, kein amtliches Inkrafttretensdatum)</w:t>
      </w:r>
    </w:p>
    <w:p>
      <w:r>
        <w:t xml:space="preserve">(1) Ein Zahlungsdienstleister, der sich öffentlich zur Führung von Zahlungskonten für Verbraucher erboten hat, hat Verbrauchern ergänzend zu den in § 675a des Bürgerlichen Gesetzbuchs genannten Informationen unentgeltlich die folgenden Angaben in Textform jederzeit leicht zugänglich zur Verfügung zu stellen:</w:t>
      </w:r>
    </w:p>
    <w:p>
      <w:pPr>
        <w:ind w:left="420"/>
      </w:pPr>
      <w:r>
        <w:t xml:space="preserve">1. eine Entgeltinformation zu den angebotenen Zahlungskonten nach den §§ 6 bis 8 und 9 Absatz 2 bis 4,</w:t>
      </w:r>
    </w:p>
    <w:p>
      <w:pPr>
        <w:ind w:left="420"/>
      </w:pPr>
      <w:r>
        <w:t xml:space="preserve">2. Informationen in Bezug auf die Merkmale, Entgelte sowie Kosten und Nutzungsbedingungen der angebotenen Basiskonten nach Abschnitt 5, wobei diese Informationen auch auf besonders schutzbedürftige Verbraucher, Verbraucher ohne festen Wohnsitz, Geduldete, Asylsuchende und Verbraucher, die über kein Zahlungskonto verfügen, ausgerichtet sein müssen,</w:t>
      </w:r>
    </w:p>
    <w:p>
      <w:pPr>
        <w:ind w:left="420"/>
      </w:pPr>
      <w:r>
        <w:t xml:space="preserve">3. einen Hinweis darauf, ob der Abschluss und der Inhalt eines Basiskontovertrags sowie die tatsächliche Nutzung des hiervon umfassten Leistungsangebots von in § 32 Absatz 1 genannten Voraussetzungen abhängig gemacht werden und dass der Zugang zu einem Basiskonto von keinen zusätzlichen Voraussetzungen oder der Vereinbarung zusätzlicher Dienste abhängig gemacht werden darf,</w:t>
      </w:r>
    </w:p>
    <w:p>
      <w:pPr>
        <w:ind w:left="420"/>
      </w:pPr>
      <w:r>
        <w:t xml:space="preserve">4. Informationen zur Kontenwechselhilfe nach Abschnitt 3 unter Einschluss der Pflichten der beteiligten Zahlungsdienstleister, der hierfür geltenden Fristen, der vom Verbraucher geschuldeten Entgelte, der Kosten, der beim Verbraucher anzufordernden Informationen sowie der einschlägigen Verfahren vor einer Verbraucherschlichtungsstelle nach § 14 des Unterlassungsklagengesetzes sowie</w:t>
      </w:r>
    </w:p>
    <w:p>
      <w:pPr>
        <w:ind w:left="420"/>
      </w:pPr>
      <w:r>
        <w:t xml:space="preserve">5. ein klar und verständlich abgefasstes Glossar zu mit einem Zahlungskonto verbundenen Diensten, das mindestens die maßgeblichen Zahlungskontendienste sowie die Begriffsbestimmungen nennen muss, die von der Europäischen Kommission zur standardisierten Zahlungskontenterminologie zu diesen Diensten festgelegt worden sind.</w:t>
      </w:r>
    </w:p>
    <w:p>
      <w:r>
        <w:t xml:space="preserve">(2) Absatz 1 Nummer 2 und 3 gilt nur für Institute, die Zahlungskonten auf dem Markt anbieten.</w:t>
      </w:r>
    </w:p>
    <w:p>
      <w:r>
        <w:t xml:space="preserve">(3) Die Informationen nach Absatz 1 Nummer 1, 4 und 5 sind Verbrauchern in den Geschäftsräumen des Zahlungsdienstleisters zur Verfügung zu stellen. Verfügt der Zahlungsdienstleister über einen Internetauftritt, so sind diese Informationen auch dort zur Verfügung zu stellen.</w:t>
      </w:r>
    </w:p>
    <w:p>
      <w:r>
        <w:t xml:space="preserve">(4) Die Informationen nach Absatz 1 Nummer 1 und 5 sind Verbrauchern auf Verlangen auch mitzuteilen.</w:t>
      </w:r>
    </w:p>
    <w:p>
      <w:r>
        <w:t xml:space="preserve">(5) Zahlungsdienstleister genügen den Anforderungen an die Gestaltung und den Inhalt des Glossars nach Absatz 1 Nummer 5, wenn sie das von der Bundesanstalt für Finanzdienstleistungsaufsicht nach § 47 Absatz 2 für dieses Glossar veröffentlichte Muster verwenden.</w:t>
      </w:r>
    </w:p>
    <w:p>
      <w:r>
        <w:rPr>
          <w:color w:val="555555"/>
          <w:sz w:val="17"/>
        </w:rPr>
        <w:t xml:space="preserve">Zitiervorschlag: § 14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