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ZKG — Verwendung der standardisierten Zahlungskontenterminologie, Währungsangaben und Sprache der Entgeltaufstellung</w:t>
      </w:r>
    </w:p>
    <w:p>
      <w:r>
        <w:rPr>
          <w:color w:val="555555"/>
          <w:sz w:val="18"/>
        </w:rPr>
        <w:t xml:space="preserve">Zahlungskontengesetz</w:t>
      </w:r>
    </w:p>
    <w:p>
      <w:r>
        <w:rPr>
          <w:color w:val="555555"/>
          <w:sz w:val="18"/>
        </w:rPr>
        <w:t xml:space="preserve">Stand: 10.06.2019 (konsolidierte Textfassung, kein amtliches Inkrafttretensdatum)</w:t>
      </w:r>
    </w:p>
    <w:p>
      <w:r>
        <w:t xml:space="preserve">(1) Für die Bezeichnung der in der Entgeltaufstellung genannten maßgeblichen Zahlungskontendienste ist die standardisierte Zahlungskontenterminologie zu verwenden. Andere Bezeichnungen dürfen in der Entgeltaufstellung nur zusätzlich zur standardisierten Zahlungskontenterminologie und als untergeordnete Bezeichnungen für die jeweiligen Dienste verwendet werden.</w:t>
      </w:r>
    </w:p>
    <w:p>
      <w:r>
        <w:t xml:space="preserve">(2) Entgelte sind in der Währung des Zahlungskontos oder in der Währung eines Mitgliedstaates der Europäischen Union anzugeben, auf die sich Verbraucher und Zahlungsdienstleister geeinigt haben.</w:t>
      </w:r>
    </w:p>
    <w:p>
      <w:r>
        <w:t xml:space="preserve">(3) Die Entgeltaufstellung muss in deutscher Sprache abgefasst sein, wenn Verbraucher und Zahlungsdienstleister nichts anderes vereinbart haben.</w:t>
      </w:r>
    </w:p>
    <w:p>
      <w:r>
        <w:rPr>
          <w:color w:val="555555"/>
          <w:sz w:val="17"/>
        </w:rPr>
        <w:t xml:space="preserve">Zitiervorschlag: § 12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