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ZKG — Anwendungsbereich</w:t>
      </w:r>
    </w:p>
    <w:p>
      <w:r>
        <w:rPr>
          <w:color w:val="555555"/>
          <w:sz w:val="18"/>
        </w:rPr>
        <w:t xml:space="preserve">Zahlungskontengesetz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gilt, soweit hierin nicht ausdrücklich etwas anderes geregelt ist, für alle Verbraucher sowie für Zahlungsdienstleister, die auf dem Markt Zahlungskonten für Verbraucher anbieten.</w:t>
      </w:r>
    </w:p>
    <w:p>
      <w:r>
        <w:rPr>
          <w:color w:val="555555"/>
          <w:sz w:val="17"/>
        </w:rPr>
        <w:t xml:space="preserve">Zitiervorschlag: § 1 ZKG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