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ZKDSG — Strafvorschriften</w:t>
      </w:r>
    </w:p>
    <w:p>
      <w:r>
        <w:rPr>
          <w:color w:val="555555"/>
          <w:sz w:val="18"/>
        </w:rPr>
        <w:t xml:space="preserve">Zugangskontrolldiensteschutz-Gesetz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entgegen § 3 Nr. 1 eine Umgehungsvorrichtung herstellt, einführt oder verbreitet.</w:t>
      </w:r>
    </w:p>
    <w:p>
      <w:r>
        <w:rPr>
          <w:color w:val="555555"/>
          <w:sz w:val="17"/>
        </w:rPr>
        <w:t xml:space="preserve">Zitiervorschlag: § 4 ZKDSG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https://recht.nulegal.eu/gesetze/ZKDSG/4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