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ZKDSG — Verbot von gewerbsmäßigen Eingriffen zur Umgehung von Zugangskontrolldiensten</w:t>
      </w:r>
    </w:p>
    <w:p>
      <w:r>
        <w:rPr>
          <w:color w:val="555555"/>
          <w:sz w:val="18"/>
        </w:rPr>
        <w:t xml:space="preserve">Zugangskontrolldiensteschutz-Gesetz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Verboten sind</w:t>
      </w:r>
    </w:p>
    <w:p>
      <w:pPr>
        <w:ind w:left="420"/>
      </w:pPr>
      <w:r>
        <w:t xml:space="preserve">1. die Herstellung, die Einfuhr und die Verbreitung von Umgehungsvorrichtungen zu gewerbsmäßigen Zwecken,</w:t>
      </w:r>
    </w:p>
    <w:p>
      <w:pPr>
        <w:ind w:left="420"/>
      </w:pPr>
      <w:r>
        <w:t xml:space="preserve">2. der Besitz, die technische Einrichtung, die Wartung und der Austausch von Umgehungsvorrichtungen zu gewerbsmäßigen Zwecken,</w:t>
      </w:r>
    </w:p>
    <w:p>
      <w:pPr>
        <w:ind w:left="420"/>
      </w:pPr>
      <w:r>
        <w:t xml:space="preserve">3. die Absatzförderung von Umgehungsvorrichtungen.</w:t>
      </w:r>
    </w:p>
    <w:p>
      <w:r>
        <w:rPr>
          <w:color w:val="555555"/>
          <w:sz w:val="17"/>
        </w:rPr>
        <w:t xml:space="preserve">Zitiervorschlag: § 3 ZKDSG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https://recht.nulegal.eu/gesetze/ZKDSG/3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