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ZKDSG — Zweck des Gesetzes</w:t>
      </w:r>
    </w:p>
    <w:p>
      <w:r>
        <w:rPr>
          <w:color w:val="555555"/>
          <w:sz w:val="18"/>
        </w:rPr>
        <w:t xml:space="preserve">Zugangskontrolldiensteschutz-Gesetz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Zweck des Gesetzes ist es, Zugangskontrolldienste gegen unerlaubte Eingriffe zu schützen.</w:t>
      </w:r>
    </w:p>
    <w:p>
      <w:r>
        <w:rPr>
          <w:color w:val="555555"/>
          <w:sz w:val="17"/>
        </w:rPr>
        <w:t xml:space="preserve">Zitiervorschlag: § 1 ZKDSG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https://recht.nulegal.eu/gesetze/ZKDSG/1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