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ZKBSV — Beteiligung anderer Personen und Stellen</w:t>
      </w:r>
    </w:p>
    <w:p>
      <w:r>
        <w:rPr>
          <w:color w:val="555555"/>
          <w:sz w:val="18"/>
        </w:rPr>
        <w:t xml:space="preserve">ZKBS-Verordnung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4 Abs. 2 des Gentechnikgesetzes genannten Bundesministerien sowie die zuständigen obersten Landesbehörden haben das Recht, zu den Sitzungen der Kommission und der Arbeitskreise Vertreter zu entsenden.</w:t>
      </w:r>
    </w:p>
    <w:p>
      <w:r>
        <w:t xml:space="preserve">(2) Auf Beschluß der Kommission werden der Antragsteller oder der Anmelder in dem Verfahren nach dem Gentechnikgesetz und von ihm beauftragte Sachverständige zum mündlichen Vortrag vor der Kommission zugelassen.</w:t>
      </w:r>
    </w:p>
    <w:p>
      <w:r>
        <w:rPr>
          <w:color w:val="555555"/>
          <w:sz w:val="17"/>
        </w:rPr>
        <w:t xml:space="preserve">Zitiervorschlag: § 4 ZKBSV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https://recht.nulegal.eu/gesetze/ZKBSV/4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