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ZKBSV — Berufung der Mitglieder</w:t>
      </w:r>
    </w:p>
    <w:p>
      <w:r>
        <w:rPr>
          <w:color w:val="555555"/>
          <w:sz w:val="18"/>
        </w:rPr>
        <w:t xml:space="preserve">ZKBS-Verordnung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Ernährung und Landwirtschaft beruft gemäß § 4 Abs. 2 des Gentechnikgesetzes die Mitglieder und die stellvertretenden Mitglieder im Benehmen mit den Landesregierungen. Bei den Berufungen nach § 4 Abs. 1 Satz 2 Nr. 1 des Gentechnikgesetzes sind Vorschläge des Wissenschaftsrates, bei Berufungen nach § 4 Abs. 1 Satz 2 Nr. 2 des Gentechnikgesetzes Vorschläge aus den dort genannten Bereichen einzuholen.</w:t>
      </w:r>
    </w:p>
    <w:p>
      <w:r>
        <w:t xml:space="preserve">(2) Das Bundesministerium für Ernährung und Landwirtschaft macht die Namen der Mitglieder und der stellvertretenden Mitglieder im Bundesanzeiger bekannt.</w:t>
      </w:r>
    </w:p>
    <w:p>
      <w:r>
        <w:rPr>
          <w:color w:val="555555"/>
          <w:sz w:val="17"/>
        </w:rPr>
        <w:t xml:space="preserve">Zitiervorschlag: § 2 ZKBSV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https://recht.nulegal.eu/gesetze/ZKBSV/2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