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ZKBSV — Zusammenarbeit mit den zuständigen Behörden</w:t>
      </w:r>
    </w:p>
    <w:p>
      <w:r>
        <w:rPr>
          <w:color w:val="555555"/>
          <w:sz w:val="18"/>
        </w:rPr>
        <w:t xml:space="preserve">ZKBS-Verordnung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Kommission gibt spätestens sechs Wochen, bei Anmeldung weiterer gentechnischer Arbeiten spätestens vier Wochen, nach Eingang der Unterlagen gegenüber der nach dem Gentechnikgesetz zuständigen Behörde eine Stellungnahme nach § 1 Abs. 2 ab. Die Frist nach Satz 1 verlängert sich, wenn eine Ergänzung der Unterlagen erforderlich ist und nach § 11 Abs. 5 Satz 3 oder Abs. 6 Satz 3, § 12 Abs. 5 Satz 3 oder § 16 Abs. 3 Satz 3 des Gentechnikgesetzes die Frist ruht. Die Stellungnahme ist zu begründen. Sie soll die tragenden Erwägungsgründe, das Abstimmungsergebnis und die Minderheitsvoten enthalten.</w:t>
      </w:r>
    </w:p>
    <w:p>
      <w:r>
        <w:t xml:space="preserve">(2) (weggefallen)</w:t>
      </w:r>
    </w:p>
    <w:p>
      <w:r>
        <w:rPr>
          <w:color w:val="555555"/>
          <w:sz w:val="17"/>
        </w:rPr>
        <w:t xml:space="preserve">Zitiervorschlag: § 14 ZKBSV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https://recht.nulegal.eu/gesetze/ZKBSV/14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