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ZKBSV — Durchführung von Sitzungen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Sitzungen sind nicht öffentlich. Die stellvertretenden Mitglieder sollen an den Sitzungen teilnehmen.</w:t>
      </w:r>
    </w:p>
    <w:p>
      <w:r>
        <w:t xml:space="preserve">(2) Der Vorsitzende eröffnet, leitet und schließt die Sitzungen; er ist für die Ordnung verantwortlich.</w:t>
      </w:r>
    </w:p>
    <w:p>
      <w:r>
        <w:t xml:space="preserve">(3) Zu Beginn der Sitzung wird über die Tagesordnung entschieden. Auf Beschluß von zwei Dritteln der Mitglieder kann die Tagesordnung ergänzt werden.</w:t>
      </w:r>
    </w:p>
    <w:p>
      <w:r>
        <w:t xml:space="preserve">(4) Stimmberechtigt sind die Mitglieder, im Falle ihrer Verhinderung die stellvertretenden Mitglieder.</w:t>
      </w:r>
    </w:p>
    <w:p>
      <w:r>
        <w:t xml:space="preserve">(5) Die Sitzungsteilnehmer haben über den Inhalt der Sitzung Verschwiegenheit zu wahren.</w:t>
      </w:r>
    </w:p>
    <w:p>
      <w:r>
        <w:rPr>
          <w:color w:val="555555"/>
          <w:sz w:val="17"/>
        </w:rPr>
        <w:t xml:space="preserve">Zitiervorschlag: § 10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