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ZKAV</w:t>
      </w:r>
    </w:p>
    <w:p>
      <w:r>
        <w:rPr>
          <w:color w:val="555555"/>
          <w:sz w:val="18"/>
        </w:rPr>
        <w:t xml:space="preserve">Zwischenlagerkosten-Anteilsfestsetzungsverordnung</w:t>
      </w:r>
    </w:p>
    <w:p>
      <w:r>
        <w:rPr>
          <w:color w:val="555555"/>
          <w:sz w:val="18"/>
        </w:rPr>
        <w:t xml:space="preserve">Stand: 25.12.2019 (konsolidierte Textfassung, kein amtliches Inkrafttretensdatum)</w:t>
      </w:r>
    </w:p>
    <w:p>
      <w:r>
        <w:t xml:space="preserve">Auf Grund des § 3 Absatz 6 Satz 2 in Verbindung mit Satz 1 des Entsorgungsübergangsgesetzes vom 27. Januar 2017 (BGBl. I S. 114, 120, 1676) verordnet das Bundesministerium für Wirtschaft und Energie im Einvernehmen mit dem Bundesministerium der Finanzen und dem Bundesministerium für Umwelt, Naturschutz und nukleare Sicherheit:</w:t>
      </w:r>
    </w:p>
    <w:p>
      <w:r>
        <w:rPr>
          <w:color w:val="555555"/>
          <w:sz w:val="17"/>
        </w:rPr>
        <w:t xml:space="preserve">Zitiervorschlag: Eingangsformel ZKAV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https://recht.nulegal.eu/gesetze/ZKAV/eingangsformel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