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ZKAV — Inkrafttreten</w:t>
      </w:r>
    </w:p>
    <w:p>
      <w:r>
        <w:rPr>
          <w:color w:val="555555"/>
          <w:sz w:val="18"/>
        </w:rPr>
        <w:t xml:space="preserve">Zwischenlagerkosten-Anteilsfestsetzungsverordnung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ZKAV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