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ZJDVtr — Ausschluss weiterer Leistungen</w:t>
      </w:r>
    </w:p>
    <w:p>
      <w:r>
        <w:rPr>
          <w:color w:val="555555"/>
          <w:sz w:val="18"/>
        </w:rPr>
        <w:t xml:space="preserve">Vertrag zwischen der Bundesrepublik Deutschland, vertreten durch den Bundeskanzler, und dem Zentralrat der Juden in Deutschland - Körperschaft des öffentlichen Rechts -, vertreten durch den Präsidenten und die Vizepräsidenten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Zentralrat der Juden in Deutschland wird über die in Artikel 2 und 5 gewährten Leistungen hinaus keine weiteren finanziellen Forderungen an die Bundesrepublik Deutschland herantragen.</w:t>
      </w:r>
    </w:p>
    <w:p>
      <w:r>
        <w:t xml:space="preserve">(2) Auf besonderer Grundlage mögliche oder bestehende Leistungen an die jüdische Gemeinschaft auf Bundesebene bleiben durch diesen Vertrag unberührt, insbesondere staatliche Leistungen für die Integration jüdischer Zuwanderer aus den GUS-Staaten und für die Pflege verwaister jüdischer Friedhöfe auf der Grundlage der Vereinbarung zwischen dem Bund und den Ländern vom 21. Juni 1957.</w:t>
      </w:r>
    </w:p>
    <w:p>
      <w:r>
        <w:rPr>
          <w:color w:val="555555"/>
          <w:sz w:val="17"/>
        </w:rPr>
        <w:t xml:space="preserve">Zitiervorschlag: Art 6 ZJDVtr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