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ZIdPrüfV</w:t>
      </w:r>
    </w:p>
    <w:p>
      <w:r>
        <w:rPr>
          <w:color w:val="555555"/>
          <w:sz w:val="18"/>
        </w:rPr>
        <w:t xml:space="preserve">Zahlungskonto-Identitätsprüfungsverordnung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4 Satz 2 des Geldwäschegesetzes vom 13. August 2008 (BGBl. I S. 1690) verordnet das Bundesministerium des Innern im Einvernehmen mit dem Bundesministerium der Finanzen:</w:t>
      </w:r>
    </w:p>
    <w:p>
      <w:r>
        <w:rPr>
          <w:color w:val="555555"/>
          <w:sz w:val="17"/>
        </w:rPr>
        <w:t xml:space="preserve">Zitiervorschlag: Eingangsformel ZIdPrüfV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https://recht.nulegal.eu/gesetze/ZIdPr%C3%BCfV/eingangsformel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