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ZIV — Datenübermittlung durch die Zahlstelle</w:t>
      </w:r>
    </w:p>
    <w:p>
      <w:r>
        <w:rPr>
          <w:color w:val="555555"/>
          <w:sz w:val="18"/>
        </w:rPr>
        <w:t xml:space="preserve">Zinsinformationsverordnung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der wirtschaftliche Eigentümer der Zinsen in einem anderen Mitgliedstaat ansässig ist, hat die inländische Zahlstelle dem Bundeszentralamt für Steuern zum Zwecke der Weiterübermittlung nach § 9 folgende Daten zu übermitteln:</w:t>
      </w:r>
    </w:p>
    <w:p>
      <w:pPr>
        <w:ind w:left="420"/>
      </w:pPr>
      <w:r>
        <w:t xml:space="preserve">1. die nach § 3 zu ermittelnden Daten über den wirtschaftlichen Eigentümer,</w:t>
      </w:r>
    </w:p>
    <w:p>
      <w:pPr>
        <w:ind w:left="420"/>
      </w:pPr>
      <w:r>
        <w:t xml:space="preserve">2. den Namen und die Anschrift der Zahlstelle,</w:t>
      </w:r>
    </w:p>
    <w:p>
      <w:pPr>
        <w:ind w:left="420"/>
      </w:pPr>
      <w:r>
        <w:t xml:space="preserve">3. die Kontonummer des wirtschaftlichen Eigentümers oder, in Ermangelung einer solchen, das Kennzeichen der Forderung, aus der die Zinsen herrühren,</w:t>
      </w:r>
    </w:p>
    <w:p>
      <w:pPr>
        <w:ind w:left="420"/>
      </w:pPr>
      <w:r>
        <w:t xml:space="preserve">4. den Gesamtbetrag der Zinsen oder Erträge und den Gesamtbetrag des Erlöses aus der Abtretung, Rückzahlung oder Einlösung, die im Kalenderjahr zugeflossen sind.</w:t>
      </w:r>
    </w:p>
    <w:p>
      <w:r>
        <w:t xml:space="preserve">Die Datenübermittlung hat bis zum 31. Mai des Jahres zu erfolgen, das auf das Jahr des Zuflusses folgt.</w:t>
      </w:r>
    </w:p>
    <w:p>
      <w:r>
        <w:rPr>
          <w:color w:val="555555"/>
          <w:sz w:val="17"/>
        </w:rPr>
        <w:t xml:space="preserve">Zitiervorschlag: § 8 ZIV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