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ZIV — Definition der Zinszahlung</w:t>
      </w:r>
    </w:p>
    <w:p>
      <w:r>
        <w:rPr>
          <w:color w:val="555555"/>
          <w:sz w:val="18"/>
        </w:rPr>
        <w:t xml:space="preserve">Zinsinformationsverordnung</w:t>
      </w:r>
    </w:p>
    <w:p>
      <w:r>
        <w:rPr>
          <w:color w:val="555555"/>
          <w:sz w:val="18"/>
        </w:rPr>
        <w:t xml:space="preserve">Stand: 10.06.2019 (konsolidierte Textfassung, kein amtliches Inkrafttretensdatum)</w:t>
      </w:r>
    </w:p>
    <w:p>
      <w:r>
        <w:t xml:space="preserve">(1) Als "Zinszahlung" im Sinne dieser Verordnung gelten:</w:t>
      </w:r>
    </w:p>
    <w:p>
      <w:pPr>
        <w:ind w:left="420"/>
      </w:pPr>
      <w:r>
        <w:t xml:space="preserve">1. gezahlte oder einem Konto gutgeschriebene Zinsen, die mit Forderungen jeglicher Art zusammenhängen, unabhängig davon, ob diese grundpfandrechtlich gesichert sind oder nicht und ob sie ein Recht auf Beteiligung am Gewinn des Schuldners beinhalten oder nicht, insbesondere Erträge aus Staatspapieren, Anleihen und Schuldverschreibungen einschließlich der mit diesen Titeln verbundenen Prämien und Gewinne; Zuschläge für verspätete Zahlungen gelten nicht als Zinszahlung;</w:t>
      </w:r>
    </w:p>
    <w:p>
      <w:pPr>
        <w:ind w:left="420"/>
      </w:pPr>
      <w:r>
        <w:t xml:space="preserve">2. bei Abtretung, Rückzahlung oder Einlösung von Forderungen im Sinne von Nummer 1 aufgelaufene oder kapitalisierte Zinsen;</w:t>
      </w:r>
    </w:p>
    <w:p>
      <w:pPr>
        <w:ind w:left="420"/>
      </w:pPr>
      <w:r>
        <w:t xml:space="preserve">3. direkte oder über eine Einrichtung im Sinne von § 4 Abs. 2 laufende Zinserträge, die ausgeschüttet werden von</w:t>
      </w:r>
    </w:p>
    <w:p>
      <w:pPr>
        <w:ind w:left="780"/>
      </w:pPr>
      <w:r>
        <w:t xml:space="preserve">a) nach der Richtlinie 85/611/EWG zugelassenen OGAW,</w:t>
      </w:r>
    </w:p>
    <w:p>
      <w:pPr>
        <w:ind w:left="780"/>
      </w:pPr>
      <w:r>
        <w:t xml:space="preserve">b) Einrichtungen, die von der Wahlmöglichkeit des § 4 Abs. 3 Gebrauch gemacht haben,</w:t>
      </w:r>
    </w:p>
    <w:p>
      <w:pPr>
        <w:ind w:left="780"/>
      </w:pPr>
      <w:r>
        <w:t xml:space="preserve">c) außerhalb des Gebiets im Sinne von § 7 niedergelassenen Organismen für gemeinsame Anlagen;</w:t>
      </w:r>
    </w:p>
    <w:p>
      <w:pPr>
        <w:ind w:left="420"/>
      </w:pPr>
      <w:r>
        <w:t xml:space="preserve">4. Erträge, die bei Abtretung, Rückzahlung oder Einlösung von Anteilen an den nachstehend aufgeführten Organismen und Einrichtungen realisiert werden, wenn diese direkt oder indirekt über nachstehend aufgeführte andere Organismen für gemeinsame Anlagen oder Einrichtungen mehr als 40 Prozent ihres Vermögens in den unter Nummer 1 genannten Forderungen angelegt haben:</w:t>
      </w:r>
    </w:p>
    <w:p>
      <w:pPr>
        <w:ind w:left="780"/>
      </w:pPr>
      <w:r>
        <w:t xml:space="preserve">a) nach der Richtlinie 85/611/EWG zugelassene OGAW,</w:t>
      </w:r>
    </w:p>
    <w:p>
      <w:pPr>
        <w:ind w:left="780"/>
      </w:pPr>
      <w:r>
        <w:t xml:space="preserve">b) Einrichtungen, die von der Wahlmöglichkeit des § 4 Abs. 3 Gebrauch gemacht haben,</w:t>
      </w:r>
    </w:p>
    <w:p>
      <w:pPr>
        <w:ind w:left="780"/>
      </w:pPr>
      <w:r>
        <w:t xml:space="preserve">c) außerhalb des Gebiets im Sinne von § 7 niedergelassene Organismen für gemeinsame Anlagen.</w:t>
      </w:r>
    </w:p>
    <w:p>
      <w:r>
        <w:t xml:space="preserve">Die in Satz 1 Nr. 4 genannten Erträge sind nur insoweit in die Definition der Zinsen einzubeziehen, wie sie Erträgen entsprechen, die mittelbar oder unmittelbar aus Zinszahlungen im Sinne des Satzes 1 Nr. 1 und 2 stammen.</w:t>
      </w:r>
    </w:p>
    <w:p>
      <w:r>
        <w:t xml:space="preserve">(2) In Bezug auf Absatz 1 Satz 1 Nr. 3 und 4 gilt für den Fall, dass einer Zahlstelle keine Informationen über den Anteil der Zinszahlungen an den Erträgen vorliegen, der Gesamtbetrag der betreffenden Erträge als Zinszahlung.</w:t>
      </w:r>
    </w:p>
    <w:p>
      <w:r>
        <w:t xml:space="preserve">(3) In Bezug auf Absatz 1 Satz 1 Nr. 4 gilt für den Fall, dass einer Zahlstelle keine Informationen über den Prozentanteil des in Forderungen oder in Anteilen gemäß der Definition unter jener Nummer angelegten Vermögens vorliegen, dieser Prozentanteil als über 40 Prozent liegend. Kann die Zahlstelle den vom wirtschaftlichen Eigentümer erzielten Ertrag nicht bestimmen, so gilt als Ertrag der Erlös aus der Abtretung, der Rückzahlung oder der Einlösung der Anteile.</w:t>
      </w:r>
    </w:p>
    <w:p>
      <w:r>
        <w:t xml:space="preserve">(4) Werden Zinsen im Sinne von Absatz 1 an eine Einrichtung im Sinne von § 4 Abs. 2 gezahlt, der die Wahlmöglichkeit in § 4 Abs. 3 nicht eingeräumt wurde, oder einem Konto einer solchen Einrichtung gutgeschrieben, so gelten sie als Zinszahlung durch diese Einrichtung.</w:t>
      </w:r>
    </w:p>
    <w:p>
      <w:r>
        <w:t xml:space="preserve">(5) Abweichend von Absatz 1 Satz 1 Nr. 3 und 4 sind von der Definition der Zinszahlung jegliche Erträge im Sinne der genannten Bestimmungen ausgeschlossen, die von im Inland niedergelassenen Unternehmen oder Einrichtungen stammen, sofern diese höchstens 15 Prozent ihres Vermögens in Forderungen im Sinne von Absatz 1 Satz 1 Nr. 1 angelegt haben. Ebenso sind abweichend von Absatz 4 von der Definition der Zinszahlung nach Absatz 1 die Zinsen ausgeschlossen, die einer im Inland niedergelassenen Einrichtung nach § 4 Abs. 2, der die Wahlmöglichkeit nach § 4 Abs. 3 nicht eingeräumt wurde, gezahlt oder einem Konto dieser Einrichtung gutgeschrieben worden sind, sofern die entsprechenden Einrichtungen höchstens 15 Prozent ihres Vermögens in Forderungen im Sinne von Absatz 1 Satz 1 Nr. 1 angelegt haben.</w:t>
      </w:r>
    </w:p>
    <w:p>
      <w:r>
        <w:t xml:space="preserve">(6) Der in Absatz 1 Satz 1 Nr. 4 und Absatz 3 genannte Prozentanteil beträgt ab dem 1. Januar 2011 25 Prozent.</w:t>
      </w:r>
    </w:p>
    <w:p>
      <w:r>
        <w:t xml:space="preserve">(7) Maßgebend für die Prozentanteile gemäß Absatz 1 Satz 1 Nr. 4 und Absatz 5 ist die in den Vertragsbedingungen oder in der Satzung der betreffenden Organismen oder Einrichtungen dargelegte Anlagepolitik oder, in Ermangelung solcher Angaben, die tatsächliche Zusammensetzung des Vermögens der betreffenden Organismen oder Einrichtungen.</w:t>
      </w:r>
    </w:p>
    <w:p>
      <w:r>
        <w:rPr>
          <w:color w:val="555555"/>
          <w:sz w:val="17"/>
        </w:rPr>
        <w:t xml:space="preserve">Zitiervorschlag: § 6 ZIV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https://recht.nulegal.eu/gesetze/ZIV/6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