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ZIV — Definition der Zahlstelle</w:t>
      </w:r>
    </w:p>
    <w:p>
      <w:r>
        <w:rPr>
          <w:color w:val="555555"/>
          <w:sz w:val="18"/>
        </w:rPr>
        <w:t xml:space="preserve">Zinsinformationsverordnung</w:t>
      </w:r>
    </w:p>
    <w:p>
      <w:r>
        <w:rPr>
          <w:color w:val="555555"/>
          <w:sz w:val="18"/>
        </w:rPr>
        <w:t xml:space="preserve">Stand: 10.06.2019 (konsolidierte Textfassung, kein amtliches Inkrafttretensdatum)</w:t>
      </w:r>
    </w:p>
    <w:p>
      <w:r>
        <w:t xml:space="preserve">(1) Als "Zahlstelle" im Sinne dieser Verordnung gilt jeder Wirtschaftsbeteiligte, der dem wirtschaftlichen Eigentümer Zinsen zahlt oder eine Zinszahlung zu dessen unmittelbaren Gunsten einzieht, und zwar unabhängig davon, ob dieser Wirtschaftsbeteiligte der Schuldner der den Zinsen zugrunde liegenden Forderung ist oder vom Schuldner oder dem wirtschaftlichen Eigentümer mit der Zinszahlung oder deren Einziehung beauftragt ist. Ein Wirtschaftsbeteiligter ist jegliche natürliche oder juristische Person, die in Ausübung ihres Berufs oder ihres Gewerbes Zinszahlungen tätigt.</w:t>
      </w:r>
    </w:p>
    <w:p>
      <w:r>
        <w:t xml:space="preserve">(2) Jegliche in einem Mitgliedstaat niedergelassene Einrichtung, an die eine Zinszahlung zugunsten des wirtschaftlichen Eigentümers geleistet wird oder die eine Zinszahlung zugunsten des wirtschaftlichen Eigentümers einzieht, gilt bei einer solchen Zahlung oder Einnahme ebenfalls als Zahlstelle. Dies gilt nicht, wenn der Wirtschaftsbeteiligte auf Grund beweiskräftiger und von der Einrichtung vorgelegter offizieller Unterlagen Grund zu der Annahme hat, dass</w:t>
      </w:r>
    </w:p>
    <w:p>
      <w:pPr>
        <w:ind w:left="420"/>
      </w:pPr>
      <w:r>
        <w:t xml:space="preserve">1. sie eine juristische Person mit Ausnahme der in Absatz 5 genannten juristischen Personen ist oder</w:t>
      </w:r>
    </w:p>
    <w:p>
      <w:pPr>
        <w:ind w:left="420"/>
      </w:pPr>
      <w:r>
        <w:t xml:space="preserve">2. ihre Gewinne den allgemeinen Vorschriften für die Unternehmensbesteuerung unterliegen oder</w:t>
      </w:r>
    </w:p>
    <w:p>
      <w:pPr>
        <w:ind w:left="420"/>
      </w:pPr>
      <w:r>
        <w:t xml:space="preserve">3. sie ein nach der Richtlinie 85/611/EWG zugelassener OGAW ist.</w:t>
      </w:r>
    </w:p>
    <w:p>
      <w:r>
        <w:t xml:space="preserve">Zahlt ein Wirtschaftsbeteiligter Zinsen zugunsten einer solchen in einem anderen Mitgliedstaat niedergelassenen und gemäß Satz 1 als Zahlstelle geltenden Einrichtung oder zieht er für sie Zinsen ein, so teilt er Namen und Anschrift der Einrichtung sowie den Gesamtbetrag der zugunsten dieser Einrichtung gezahlten oder eingezogenen Zinsen der zuständigen Behörde des Mitgliedstaats seiner Niederlassung mit, welche diese Informationen an die zuständige Behörde des Mitgliedstaats weiterleitet, in dem die betreffende Einrichtung niedergelassen ist.</w:t>
      </w:r>
    </w:p>
    <w:p>
      <w:r>
        <w:t xml:space="preserve">(3) Inländische Einrichtungen im Sinne von Absatz 2 Satz 1 können sich für die Zwecke dieser Verordnung jedoch als OGAW im Sinne von Absatz 2 Satz 2 Nr. 3 behandeln lassen, wenn sie steuerlich erfasst sind. Macht eine inländische Einrichtung von dieser Wahlmöglichkeit Gebrauch, so wird ihr von der nach § 5 zuständigen Behörde ein entsprechender Nachweis ausgestellt, den sie an den Wirtschaftsbeteiligten weiterleitet.</w:t>
      </w:r>
    </w:p>
    <w:p>
      <w:r>
        <w:t xml:space="preserve">(4) Sind der Wirtschaftsbeteiligte und die Einrichtung im Sinne von Absatz 2 im Inland niedergelassen, so gelten die Vorschriften dieser Verordnung für die Einrichtung, wenn sie als Zahlstelle handelt.</w:t>
      </w:r>
    </w:p>
    <w:p>
      <w:r>
        <w:t xml:space="preserve">(5) Die von Absatz 2 Satz 2 Nr. 1 ausgenommenen juristischen Personen sind:</w:t>
      </w:r>
    </w:p>
    <w:p>
      <w:pPr>
        <w:ind w:left="420"/>
      </w:pPr>
      <w:r>
        <w:t xml:space="preserve">1. in Finnland: avoin yhtiö (Ay) und kommandiittiyhtiö (Ky)/öppet bolag und kommanditbolag,</w:t>
      </w:r>
    </w:p>
    <w:p>
      <w:pPr>
        <w:ind w:left="420"/>
      </w:pPr>
      <w:r>
        <w:t xml:space="preserve">2. in Schweden: handelsbolag (HB) und kommanditbolag (KB).</w:t>
      </w:r>
    </w:p>
    <w:p>
      <w:r>
        <w:rPr>
          <w:color w:val="555555"/>
          <w:sz w:val="17"/>
        </w:rPr>
        <w:t xml:space="preserve">Zitiervorschlag: § 4 ZIV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