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ZIV — Definition des wirtschaftlichen Eigentümers</w:t>
      </w:r>
    </w:p>
    <w:p>
      <w:r>
        <w:rPr>
          <w:color w:val="555555"/>
          <w:sz w:val="18"/>
        </w:rPr>
        <w:t xml:space="preserve">Zinsinformationsverordnung</w:t>
      </w:r>
    </w:p>
    <w:p>
      <w:r>
        <w:rPr>
          <w:color w:val="555555"/>
          <w:sz w:val="18"/>
        </w:rPr>
        <w:t xml:space="preserve">Stand: 10.06.2019 (konsolidierte Textfassung, kein amtliches Inkrafttretensdatum)</w:t>
      </w:r>
    </w:p>
    <w:p>
      <w:r>
        <w:t xml:space="preserve">(1) Als "wirtschaftlicher Eigentümer" im Sinne dieser Verordnung gilt jede natürliche Person, die eine Zinszahlung vereinnahmt oder zu deren Gunsten eine Zinszahlung erfolgt, es sei denn, sie weist nach, dass sie die Zahlung nicht für sich selbst vereinnahmt hat oder sie nicht zu ihren Gunsten erfolgt ist, das heißt, dass sie</w:t>
      </w:r>
    </w:p>
    <w:p>
      <w:pPr>
        <w:ind w:left="420"/>
      </w:pPr>
      <w:r>
        <w:t xml:space="preserve">1. als Zahlstelle im Sinne von § 4 Abs. 1 handelt oder</w:t>
      </w:r>
    </w:p>
    <w:p>
      <w:pPr>
        <w:ind w:left="420"/>
      </w:pPr>
      <w:r>
        <w:t xml:space="preserve">2. im Auftrag</w:t>
      </w:r>
    </w:p>
    <w:p>
      <w:pPr>
        <w:ind w:left="780"/>
      </w:pPr>
      <w:r>
        <w:t xml:space="preserve">a) einer juristischen Person,</w:t>
      </w:r>
    </w:p>
    <w:p>
      <w:pPr>
        <w:ind w:left="780"/>
      </w:pPr>
      <w:r>
        <w:t xml:space="preserve">b) einer Einrichtung, deren Gewinne den allgemeinen Vorschriften der Unternehmensbesteuerung unterliegen,</w:t>
      </w:r>
    </w:p>
    <w:p>
      <w:pPr>
        <w:ind w:left="780"/>
      </w:pPr>
      <w:r>
        <w:t xml:space="preserve">c) eines nach der Richtlinie 85/611/EWG des Rates vom 20. Dezember 1985 zur Koordinierung der Rechts- und Verwaltungsvorschriften betreffend bestimmte Organismen für gemeinsame Anlagen in Wertpapieren (ABl. EG Nr. L 375 S. 3), zuletzt geändert durch die Richtlinie 2001/108/EG des Europäischen Parlaments und des Rates vom 21. Januar 2002 (ABl. EG Nr. L 41 S. 35), zugelassenen Organismus für gemeinsame Anlagen in Wertpapieren (OGAW) oder</w:t>
      </w:r>
    </w:p>
    <w:p>
      <w:pPr>
        <w:ind w:left="780"/>
      </w:pPr>
      <w:r>
        <w:t xml:space="preserve">d) einer Einrichtung nach § 4 Abs. 2 der Verordnung</w:t>
      </w:r>
    </w:p>
    <w:p>
      <w:pPr>
        <w:ind w:left="420"/>
      </w:pPr>
      <w:r>
        <w:t xml:space="preserve">handelt und in letzterem Fall Namen und Anschrift der betreffenden Einrichtung dem Wirtschaftsbeteiligten mitteilt, der die Zinsen zahlt, welcher diese Angaben wiederum der zuständigen Behörde des Mitgliedstaats, in dem er ansässig ist, übermittelt, oder</w:t>
      </w:r>
    </w:p>
    <w:p>
      <w:pPr>
        <w:ind w:left="420"/>
      </w:pPr>
      <w:r>
        <w:t xml:space="preserve">3. im Auftrag einer anderen natürlichen Person handelt, welche der wirtschaftliche Eigentümer ist, und deren Identität und Wohnsitz nach § 3 Abs. 2 der Zahlstelle mitteilt.</w:t>
      </w:r>
    </w:p>
    <w:p>
      <w:r>
        <w:t xml:space="preserve">(2) Liegen einer Zahlstelle Informationen vor, die den Schluss nahe legen, dass die natürliche Person, die eine Zinszahlung vereinnahmt oder zu deren Gunsten eine Zinszahlung erfolgt, möglicherweise nicht der wirtschaftliche Eigentümer ist, und fällt diese natürliche Person weder unter Absatz 1 Nr. 1 noch unter Absatz 1 Nr. 2, so unternimmt die Zahlstelle angemessene Schritte nach § 3 Abs. 2 zur Feststellung der Identität des wirtschaftlichen Eigentümers. Kann die Zahlstelle den wirtschaftlichen Eigentümer nicht feststellen, so behandelt sie die betreffende natürliche Person als den wirtschaftlichen Eigentümer.</w:t>
      </w:r>
    </w:p>
    <w:p>
      <w:r>
        <w:rPr>
          <w:color w:val="555555"/>
          <w:sz w:val="17"/>
        </w:rPr>
        <w:t xml:space="preserve">Zitiervorschlag: § 2 ZIV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https://recht.nulegal.eu/gesetze/ZIV/2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