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ZIV — Andere Quellensteuern</w:t>
      </w:r>
    </w:p>
    <w:p>
      <w:r>
        <w:rPr>
          <w:color w:val="555555"/>
          <w:sz w:val="18"/>
        </w:rPr>
        <w:t xml:space="preserve">Zinsinformationsverordnung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steht der Erhebung anderer Arten der Quellensteuer als die nach § 11 gemäß den innerstaatlichen Rechtsvorschriften nicht entgegen.</w:t>
      </w:r>
    </w:p>
    <w:p>
      <w:r>
        <w:rPr>
          <w:color w:val="555555"/>
          <w:sz w:val="17"/>
        </w:rPr>
        <w:t xml:space="preserve">Zitiervorschlag: § 16 ZIV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https://recht.nulegal.eu/gesetze/ZIV/16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