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ZIV — Umlauffähige Schuldtitel</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Während des Übergangszeitraums nach Artikel 10 Abs. 2 der Richtlinie 2003/48/EG des Rates vom 3. Juni 2003 im Bereich der Besteuerung von Zinserträgen (ABl. EU Nr. L 157 S. 38), spätestens jedoch bis zum 31. Dezember 2010, gelten in- und ausländische Anleihen sowie andere umlauffähige Schuldtitel, die erstmals vor dem 1. März 2001 begeben wurden oder bei denen die zugehörigen Emissionsprospekte vor diesem Zeitpunkt durch die zuständigen Behörden im Sinne der Richtlinie 80/390/EWG des Rates vom 17. März 1980 zur Koordinierung der Bedingungen für die Erstellung, die Kontrolle und die Vorbereitung des Prospekts, der für die Zulassung von Wertpapieren zur amtlichen Notierung an einer Wertpapierbörse zu veröffentlichen ist (ABl. EG Nr. L 100 S. 1), aufgehoben durch die Richtlinie 2001/34/EG des Europäischen Parlaments und des Rates vom 28. Mai 2001 (ABl. EG Nr. L 184 S. 1, Nr. L 217 S. 18), oder durch die zuständigen Behörden von Drittländern genehmigt wurden, nicht als Forderungen im Sinne des § 6 Abs. 1 Satz 1 Nr. 1, wenn ab dem 1. März 2002 keine Folgeemissionen dieser umlauffähigen Schuldtitel mehr getätigt werden. Sofern der Übergangszeitraum nach § 10 über den 31. Dezember 2010 hinausgeht, finden die Bestimmungen dieser Vorschrift jedoch nur dann weiterhin Anwendung auf die betreffenden umlauffähigen Schuldtitel, wenn</w:t>
      </w:r>
    </w:p>
    <w:p>
      <w:pPr>
        <w:ind w:left="420"/>
      </w:pPr>
      <w:r>
        <w:t xml:space="preserve">1. diese Bruttozinsklauseln und Klauseln über die vorzeitige Ablösung enthalten,</w:t>
      </w:r>
    </w:p>
    <w:p>
      <w:pPr>
        <w:ind w:left="420"/>
      </w:pPr>
      <w:r>
        <w:t xml:space="preserve">2. die Zahlstelle des Emittenten in einem Mitgliedstaat niedergelassen ist, der die Quellensteuer nach § 11 erhebt, und die Zahlstelle die Zinsen unmittelbar an einen wirtschaftlichen Eigentümer mit Wohnsitz in einem anderen Mitgliedstaat zahlt.</w:t>
      </w:r>
    </w:p>
    <w:p>
      <w:r>
        <w:t xml:space="preserve">Tätigt eine Regierung oder eine damit verbundene Einrichtung nach der Anlage, die als Behörde handelt oder deren Funktion durch einen internationalen Vertrag anerkannt ist, ab dem 1. März 2002 eine Folgeemission eines der vorstehend genannten umlauffähigen Schuldtitel, so gilt die gesamte Emission, das heißt die erste und alle Folgeemissionen, als Forderung im Sinne des § 6 Abs. 1 Satz 1 Nr. 1. Tätigt eine von Satz 3 nicht erfasste Einrichtung ab dem 1. März 2002 eine Folgeemission eines der vorstehend genannten umlauffähigen Schuldtitel, so gilt diese Folgeemission als Forderung im Sinne von § 6 Abs. 1 Satz 1 Nr. 1.</w:t>
      </w:r>
    </w:p>
    <w:p>
      <w:r>
        <w:t xml:space="preserve">(2) Diese Vorschrift steht einer Besteuerung von Erträgen aus den in Absatz 1 genannten umlauffähigen Schuldtiteln nach inländischen Rechtsvorschriften nicht entgegen.</w:t>
      </w:r>
    </w:p>
    <w:p>
      <w:r>
        <w:rPr>
          <w:color w:val="555555"/>
          <w:sz w:val="17"/>
        </w:rPr>
        <w:t xml:space="preserve">Zitiervorschlag: § 15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