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ZIV — Ausnahmen vom Quellensteuerverfahren</w:t>
      </w:r>
    </w:p>
    <w:p>
      <w:r>
        <w:rPr>
          <w:color w:val="555555"/>
          <w:sz w:val="18"/>
        </w:rPr>
        <w:t xml:space="preserve">Zinsinformationsverordnung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Zur Ermöglichung einer Abstandnahme von der Erhebung einer Quellensteuer in den Staaten Belgien, Luxemburg und Österreich stellt das nach § 5 Abs. 2 Satz 2 zuständige Finanzamt auf Antrag des wirtschaftlichen Eigentümers mit inländischem steuerlichen Wohnsitz eine Bescheinigung mit folgenden Angaben zur Vorlage bei seiner Zahlstelle aus:</w:t>
      </w:r>
    </w:p>
    <w:p>
      <w:pPr>
        <w:ind w:left="420"/>
      </w:pPr>
      <w:r>
        <w:t xml:space="preserve">1. Name, Anschrift und Steuer- oder sonstige Identifikationsnummer oder, in Ermangelung einer solchen, Geburtsdatum und -ort des wirtschaftlichen Eigentümers;</w:t>
      </w:r>
    </w:p>
    <w:p>
      <w:pPr>
        <w:ind w:left="420"/>
      </w:pPr>
      <w:r>
        <w:t xml:space="preserve">2. Name und Anschrift der Zahlstelle;</w:t>
      </w:r>
    </w:p>
    <w:p>
      <w:pPr>
        <w:ind w:left="420"/>
      </w:pPr>
      <w:r>
        <w:t xml:space="preserve">3. Kontonummer des wirtschaftlichen Eigentümers oder, in Ermangelung einer solchen, Kennzeichen des Wertpapiers.</w:t>
      </w:r>
    </w:p>
    <w:p>
      <w:r>
        <w:t xml:space="preserve">Diese Bescheinigung gilt für die Dauer von höchstens drei Jahren. Sie wird jedem wirtschaftlichen Eigentümer auf Antrag binnen zwei Monaten ausgestellt.</w:t>
      </w:r>
    </w:p>
    <w:p>
      <w:r>
        <w:rPr>
          <w:color w:val="555555"/>
          <w:sz w:val="17"/>
        </w:rPr>
        <w:t xml:space="preserve">Zitiervorschlag: § 13 ZIV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https://recht.nulegal.eu/gesetze/ZIV/13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