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ZISAG</w:t>
      </w:r>
    </w:p>
    <w:p>
      <w:r>
        <w:rPr>
          <w:color w:val="555555"/>
          <w:sz w:val="18"/>
        </w:rPr>
        <w:t xml:space="preserve">ZIS-Ausführungsgesetz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Generalzolldirektion, die Zollfahndungsämter und die Hauptzollämter dürfen dienstlich erlangte Informationen einschließlich personenbezogener Daten im Zollinformationssystem nach dem Beschluss 2009/917/JI sowie nach der Verordnung (EG) Nr. 515/97 im automatisierten Verfahren erfassen.</w:t>
      </w:r>
    </w:p>
    <w:p>
      <w:r>
        <w:t xml:space="preserve">(2) Die Daten werden nur erfasst, soweit dies für die Erreichung des mit diesen Datenbanken verfolgten Ziels erforderlich ist und eine Gefährdung des Untersuchungszwecks nicht zu besorgen ist. § 480 Absatz 1 Satz 1 und 2 der Strafprozessordnung findet Anwendung.</w:t>
      </w:r>
    </w:p>
    <w:p>
      <w:r>
        <w:rPr>
          <w:color w:val="555555"/>
          <w:sz w:val="17"/>
        </w:rPr>
        <w:t xml:space="preserve">Zitiervorschlag: § 3 ZISAG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https://recht.nulegal.eu/gesetze/ZISAG/3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