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ZIEV</w:t>
      </w:r>
    </w:p>
    <w:p>
      <w:r>
        <w:rPr>
          <w:color w:val="555555"/>
          <w:sz w:val="18"/>
        </w:rPr>
        <w:t xml:space="preserve">ZAG-Instituts-Eigenmittelverordnung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Absatz 6 Satz 1 und 3, auch in Verbindung mit Absatz 4 Satz 2, des Zahlungsdiensteaufsichtsgesetzes vom 25. Juni 2009 (BGBl. I S. 1506) verordnet das Bundesministerium der Finanzen im Benehmen mit der Deutschen Bundesbank nach Anhörung der Verbände der Zahlungsinstitute:</w:t>
      </w:r>
    </w:p>
    <w:p>
      <w:r>
        <w:rPr>
          <w:color w:val="555555"/>
          <w:sz w:val="17"/>
        </w:rPr>
        <w:t xml:space="preserve">Zitiervorschlag: Eingangsformel ZIEV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