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ZIEV — Festlegung der Methode</w:t>
      </w:r>
    </w:p>
    <w:p>
      <w:r>
        <w:rPr>
          <w:color w:val="555555"/>
          <w:sz w:val="18"/>
        </w:rPr>
        <w:t xml:space="preserve">ZAG-Instituts-Eigenmittelverordnung</w:t>
      </w:r>
    </w:p>
    <w:p>
      <w:r>
        <w:rPr>
          <w:color w:val="555555"/>
          <w:sz w:val="18"/>
        </w:rPr>
        <w:t xml:space="preserve">Stand: 10.06.2019 (konsolidierte Textfassung, kein amtliches Inkrafttretensdatum)</w:t>
      </w:r>
    </w:p>
    <w:p>
      <w:r>
        <w:t xml:space="preserve">(1) Im Einzelfall kann die Bundesanstalt unbeschadet der Befugnisse nach § 15 Absatz 2 Satz 3 des Zahlungsdiensteaufsichtsgesetzes und § 3 Absatz 1 Satz 3 dieser Verordnung jederzeit bestimmen, dass die Berechnung nach einer anderen in den §§ 3 bis 5 genannten Methode zu erfolgen hat, wenn die angewendete Methode die tatsächlichen Risiken des Geschäfts nicht angemessen wiedergibt.</w:t>
      </w:r>
    </w:p>
    <w:p>
      <w:r>
        <w:t xml:space="preserve">(2) Das Zahlungsinstitut kann im Erlaubnisantrag nach § 10 des Zahlungsdiensteaufsichtsgesetzes oder später die Anwendung einer bestimmten Berechnungsmethode beantragen, wenn es der Auffassung ist, dass die anzuwendende Methode die tatsächlichen Risiken des Geschäfts nicht angemessen wiedergibt. Im Antrag hat das Zahlungsinstitut seine Auffassung schriftlich zu begründen. Ein solcher Antrag darf unbeschadet der Möglichkeit der Antragstellung im Erlaubnisantrag jedoch nur einmal pro Geschäftsjahr gestellt werden.</w:t>
      </w:r>
    </w:p>
    <w:p>
      <w:r>
        <w:rPr>
          <w:color w:val="555555"/>
          <w:sz w:val="17"/>
        </w:rPr>
        <w:t xml:space="preserve">Zitiervorschlag: § 6 ZIEV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https://recht.nulegal.eu/gesetze/ZIEV/6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