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ZIEV — Berechnung nach Methode C</w:t>
      </w:r>
    </w:p>
    <w:p>
      <w:r>
        <w:rPr>
          <w:color w:val="555555"/>
          <w:sz w:val="18"/>
        </w:rPr>
        <w:t xml:space="preserve">ZAG-Instituts-Eigenmittelverordnung</w:t>
      </w:r>
    </w:p>
    <w:p>
      <w:r>
        <w:rPr>
          <w:color w:val="555555"/>
          <w:sz w:val="18"/>
        </w:rPr>
        <w:t xml:space="preserve">Stand: 10.06.2019 (konsolidierte Textfassung, kein amtliches Inkrafttretensdatum)</w:t>
      </w:r>
    </w:p>
    <w:p>
      <w:r>
        <w:t xml:space="preserve">(1) Zahlungsinstitute müssen eine Eigenmittelunterlegung aufweisen, die mindestens dem maßgeblichen Indikator nach Absatz 2 entspricht, multipliziert mit dem in Absatz 3 definierten Multiplikationsfaktor und mit dem in § 2 Absatz 2 festgelegten Skalierungsfaktor k.</w:t>
      </w:r>
    </w:p>
    <w:p>
      <w:r>
        <w:t xml:space="preserve">(2) Der maßgebliche Indikator ist die Summe der folgenden Bestandteile:</w:t>
      </w:r>
    </w:p>
    <w:p>
      <w:pPr>
        <w:ind w:left="420"/>
      </w:pPr>
      <w:r>
        <w:t xml:space="preserve">1. Zinserträge,</w:t>
      </w:r>
    </w:p>
    <w:p>
      <w:pPr>
        <w:ind w:left="420"/>
      </w:pPr>
      <w:r>
        <w:t xml:space="preserve">2. Zinsaufwand,</w:t>
      </w:r>
    </w:p>
    <w:p>
      <w:pPr>
        <w:ind w:left="420"/>
      </w:pPr>
      <w:r>
        <w:t xml:space="preserve">3. Einnahmen aus Provisionen und Entgelten sowie</w:t>
      </w:r>
    </w:p>
    <w:p>
      <w:pPr>
        <w:ind w:left="420"/>
      </w:pPr>
      <w:r>
        <w:t xml:space="preserve">4. sonstige betriebliche Erträge.</w:t>
      </w:r>
    </w:p>
    <w:p>
      <w:r>
        <w:t xml:space="preserve">In die Summe geht jeder Wert mit seinem positiven oder negativen Vorzeichen ein. Außerordentliche oder unregelmäßige Erträge dürfen nicht in die Berechnung des maßgeblichen Indikators einfließen. Aufwendungen für die Auslagerung von Dienstleistungen, die durch Dritte erbracht werden, dürfen den maßgeblichen Indikator dann mindern, wenn die Aufwendungen von einem Unternehmen getragen werden, das nach dem Zahlungsdiensteaufsichtsgesetz oder entsprechenden ausländischen Vorschriften, die zur Umsetzung der Richtlinie (EU) 2015/2366 des Europäischen Parlaments und des Rates vom 25. November 2015 über Zahlungsdienste im Binnenmarkt, zur Änderung der Richtlinien 2002/65/EG, 2009/110/EG und 2013/36/EU und der Verordnung (EU) Nr. 1093/2010 sowie zur Aufhebung der Richtlinie 2007/64/EG (ABl. L 337 vom 23.12.2015, S. 35; L 169 vom 28.6.2016, S. 18; L 102 vom 23.4.2018, S. 97; L 126 vom 23.5.2018, S. 10) erlassen worden sind, beaufsichtigt wird. Der maßgebliche Indikator wird auf der Grundlage der letzten Zwölfmonatsbeobachtung, die am Ende des vorausgegangenen Geschäftsjahres erfolgt, für dieses vorausgegangene Geschäftsjahr errechnet. Die ermittelten Eigenmittelanforderungen dürfen jedoch nicht weniger als 80 Prozent des Betrags ausmachen, der sich bei Berechnung der Eigenmittelanforderungen nach Methode C ergeben würde, wenn bei der Berechnung der Durchschnittswert des maßgeblichen Indikators für die vorausgegangenen drei Geschäftsjahre zugrunde gelegt würde. Wenn keine geprüften Zahlen vorliegen, können Schätzungen verwendet werden.</w:t>
      </w:r>
    </w:p>
    <w:p>
      <w:r>
        <w:t xml:space="preserve">(3) Der Multiplikationsfaktor entspricht</w:t>
      </w:r>
    </w:p>
    <w:p>
      <w:pPr>
        <w:ind w:left="420"/>
      </w:pPr>
      <w:r>
        <w:t xml:space="preserve">1. 10 Prozent der Tranche des maßgeblichen Indikators bis 2,5 Millionen Euro,</w:t>
      </w:r>
    </w:p>
    <w:p>
      <w:pPr>
        <w:ind w:left="420"/>
      </w:pPr>
      <w:r>
        <w:t xml:space="preserve">2. 8 Prozent der Tranche des maßgeblichen Indikators von über 2,5 Millionen Euro bis 5 Millionen Euro,</w:t>
      </w:r>
    </w:p>
    <w:p>
      <w:pPr>
        <w:ind w:left="420"/>
      </w:pPr>
      <w:r>
        <w:t xml:space="preserve">3. 6 Prozent der Tranche des maßgeblichen Indikators von über 5 Millionen Euro bis 25 Millionen Euro,</w:t>
      </w:r>
    </w:p>
    <w:p>
      <w:pPr>
        <w:ind w:left="420"/>
      </w:pPr>
      <w:r>
        <w:t xml:space="preserve">4. 3 Prozent der Tranche des maßgeblichen Indikators von über 25 Millionen Euro bis 50 Millionen Euro,</w:t>
      </w:r>
    </w:p>
    <w:p>
      <w:pPr>
        <w:ind w:left="420"/>
      </w:pPr>
      <w:r>
        <w:t xml:space="preserve">5. 1,5 Prozent der Tranche des maßgeblichen Indikators über 50 Millionen Euro.</w:t>
      </w:r>
    </w:p>
    <w:p>
      <w:r>
        <w:rPr>
          <w:color w:val="555555"/>
          <w:sz w:val="17"/>
        </w:rPr>
        <w:t xml:space="preserve">Zitiervorschlag: § 5 ZIEV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