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ZIEV — Berechnung nach Methode B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Zahlungsinstitute müssen eine Eigenmittelunterlegung aufweisen, die mindestens der Summe der folgenden Tranchenwerte multipliziert mit dem in § 2 Absatz 2 festgelegten Skalierungsfaktor k entspricht, wobei Zahlungsvolumen im Sinne dieser Vorschrift ein Zwölftel der Gesamtsumme der von dem Zahlungsinstitut im Vorjahr ausgeführten Zahlungsvorgänge ist:</w:t>
      </w:r>
    </w:p>
    <w:p>
      <w:pPr>
        <w:ind w:left="420"/>
      </w:pPr>
      <w:r>
        <w:t xml:space="preserve">1. 4,0 Prozent der Tranche des Zahlungsvolumens bis 5 Millionen Europlus</w:t>
      </w:r>
    </w:p>
    <w:p>
      <w:pPr>
        <w:ind w:left="420"/>
      </w:pPr>
      <w:r>
        <w:t xml:space="preserve">2. 2,5 Prozent der Tranche des Zahlungsvolumens von über 5 Millionen Euro bis 10 Millionen Europlus</w:t>
      </w:r>
    </w:p>
    <w:p>
      <w:pPr>
        <w:ind w:left="420"/>
      </w:pPr>
      <w:r>
        <w:t xml:space="preserve">3. 1 Prozent der Tranche des Zahlungsvolumens von über 10 Millionen Euro bis 100 Millionen Europlus</w:t>
      </w:r>
    </w:p>
    <w:p>
      <w:pPr>
        <w:ind w:left="420"/>
      </w:pPr>
      <w:r>
        <w:t xml:space="preserve">4. 0,5 Prozent der Tranche des Zahlungsvolumens von über 100 Millionen Euro bis 250 Millionen Europlus</w:t>
      </w:r>
    </w:p>
    <w:p>
      <w:pPr>
        <w:ind w:left="420"/>
      </w:pPr>
      <w:r>
        <w:t xml:space="preserve">5. 0,25 Prozent der Tranche des Zahlungsvolumens über 250 Millionen Euro.</w:t>
      </w:r>
    </w:p>
    <w:p>
      <w:r>
        <w:rPr>
          <w:color w:val="555555"/>
          <w:sz w:val="17"/>
        </w:rPr>
        <w:t xml:space="preserve">Zitiervorschlag: § 4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