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ZIEV — Berechnung nach Methode A</w:t>
      </w:r>
    </w:p>
    <w:p>
      <w:r>
        <w:rPr>
          <w:color w:val="555555"/>
          <w:sz w:val="18"/>
        </w:rPr>
        <w:t xml:space="preserve">ZAG-Instituts-Eigenmittelverordnung</w:t>
      </w:r>
    </w:p>
    <w:p>
      <w:r>
        <w:rPr>
          <w:color w:val="555555"/>
          <w:sz w:val="18"/>
        </w:rPr>
        <w:t xml:space="preserve">Stand: 10.06.2019 (konsolidierte Textfassung, kein amtliches Inkrafttretensdatum)</w:t>
      </w:r>
    </w:p>
    <w:p>
      <w:r>
        <w:t xml:space="preserve">(1) Zahlungsinstitute müssen eine Eigenmittelunterlegung aufweisen, die mindestens 10 Prozent ihrer fixen Gemeinkosten des Vorjahrs entspricht. Als fixe Gemeinkosten sind allgemeine Verwaltungsaufwendungen, die Abschreibungen und Wertberichtigungen auf immaterielle Anlagewerte und Sachanlagen und die sonstigen betrieblichen Aufwendungen anzusetzen, die das Zahlungsinstitut in der Gewinn- und Verlustrechnung des letzten Jahresabschlusses ausgewiesen hat. Die Bundesanstalt für Finanzdienstleistungsaufsicht (Bundesanstalt) kann die Eigenmittelanforderung nach Satz 1 bei einer gegenüber dem Vorjahr erheblich veränderten Geschäftstätigkeit des Zahlungsinstituts an die aktuelle Geschäftstätigkeit anpassen.</w:t>
      </w:r>
    </w:p>
    <w:p>
      <w:r>
        <w:t xml:space="preserve">(2) Zahlungsinstitute, die ihre Geschäftstätigkeit zum Zeitpunkt der Berechnung seit weniger als einem Jahr ausüben, müssen eine Eigenmittelanforderung in Höhe von 10 Prozent der im Geschäftsplan vorgesehenen fixen Gemeinkosten im Sinne des Absatzes 1 Satz 2 erfüllen. Die Bundesanstalt kann für die Zwecke dieser Berechnung eine Anpassung des Geschäftsplans verlangen.</w:t>
      </w:r>
    </w:p>
    <w:p>
      <w:r>
        <w:rPr>
          <w:color w:val="555555"/>
          <w:sz w:val="17"/>
        </w:rPr>
        <w:t xml:space="preserve">Zitiervorschlag: § 3 ZIEV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