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ZIEV — Berechnung der Eigenmittelanforderungen</w:t>
      </w:r>
    </w:p>
    <w:p>
      <w:r>
        <w:rPr>
          <w:color w:val="555555"/>
          <w:sz w:val="18"/>
        </w:rPr>
        <w:t xml:space="preserve">ZAG-Instituts-Eigenmittelverordnung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Das Zahlungsinstitut hat der Berechnung der Eigenmittelanforderungen die in § 4 dargestellte Methode B zugrunde zu legen, sofern nicht nach § 6 eine andere Methode festgelegt worden ist.</w:t>
      </w:r>
    </w:p>
    <w:p>
      <w:r>
        <w:t xml:space="preserve">(2) Der bei der Berechnung nach den §§ 4 und 5 anzuwendende Skalierungsfaktor k entspricht</w:t>
      </w:r>
    </w:p>
    <w:p>
      <w:pPr>
        <w:ind w:left="420"/>
      </w:pPr>
      <w:r>
        <w:t xml:space="preserve">1. 0,5, wenn das Zahlungsinstitut nur die in § 1 Absatz 1 Satz 2 Nummer 6 des Zahlungsdiensteaufsichtsgesetzes genannten Zahlungsdienste erbringt;</w:t>
      </w:r>
    </w:p>
    <w:p>
      <w:pPr>
        <w:ind w:left="420"/>
      </w:pPr>
      <w:r>
        <w:t xml:space="preserve">2. 1,0, wenn das Zahlungsinstitut einen oder mehrere der in § 1 Absatz 1 Satz 2 Nummer 1 bis 5 des Zahlungsdiensteaufsichtsgesetzes genannten Zahlungsdienste erbringt.</w:t>
      </w:r>
    </w:p>
    <w:p>
      <w:r>
        <w:rPr>
          <w:color w:val="555555"/>
          <w:sz w:val="17"/>
        </w:rPr>
        <w:t xml:space="preserve">Zitiervorschlag: § 2 ZIEV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https://recht.nulegal.eu/gesetze/ZIEV/2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