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ZIEV — Kriterien bei Zahlungsauslösediensten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Institut, das Zahlungsauslösedienste erbringt, muss eine Absicherung für den Haftungsfall nach § 16 Absatz 1 des Zahlungsdiensteaufsichtsgesetzes in einer Höhe vorhalten, die</w:t>
      </w:r>
    </w:p>
    <w:p>
      <w:pPr>
        <w:ind w:left="420"/>
      </w:pPr>
      <w:r>
        <w:t xml:space="preserve">1. das Risikoprofil, insbesondere der Wert der eingegangenen Erstattungsbegehren und die Anzahl der ausgelösten Zahlungsvorgänge,</w:t>
      </w:r>
    </w:p>
    <w:p>
      <w:pPr>
        <w:ind w:left="420"/>
      </w:pPr>
      <w:r>
        <w:t xml:space="preserve">2. die Art der Tätigkeit, insbesondere das Nachgehen anderer Geschäftstätigkeiten, die Auswirkungen auf die Zahlungsauslösedienste haben, und</w:t>
      </w:r>
    </w:p>
    <w:p>
      <w:pPr>
        <w:ind w:left="420"/>
      </w:pPr>
      <w:r>
        <w:t xml:space="preserve">3. der Umfang der Tätigkeit, insbesondere der Gesamtwert der ausgelösten Zahlungsvorgänge,</w:t>
      </w:r>
    </w:p>
    <w:p>
      <w:r>
        <w:t xml:space="preserve">des Instituts erforderlich macht.</w:t>
      </w:r>
    </w:p>
    <w:p>
      <w:r>
        <w:t xml:space="preserve">(2) Die Bundesanstalt kann unbeschadet ihrer Befugnisse nach § 16 Absatz 1 Satz 3 in Verbindung mit § 17 Absatz 3 des Zahlungsdiensteaufsichtsgesetzes einem Institut aufgeben, die Höhe der erforderlichen Absicherung für den Haftungsfall nach den Kriterien gemäß Absatz 1 neu zu bestimmen, wenn die vom Institut angesetzte Höhe den Risiken der Geschäfte nicht angemessen Rechnung trägt.</w:t>
      </w:r>
    </w:p>
    <w:p>
      <w:r>
        <w:rPr>
          <w:color w:val="555555"/>
          <w:sz w:val="17"/>
        </w:rPr>
        <w:t xml:space="preserve">Zitiervorschlag: § 10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