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ZIEV — Angemessenheit der Eigenmittel und Erforderlichkeit der Absicherung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Institut im Sinne des Zahlungsdiensteaufsichtsgesetzes, das nicht ausschließlich Zahlungsauslöse- oder Kontoinformationsdienste erbringt, hat ungeachtet des Betrags des Anfangskapitals nach § 12 Nummer 3 des Zahlungsdiensteaufsichtsgesetzes jederzeit angemessene Eigenmittel nach Maßgabe dieser Verordnung vorzuhalten. Ein Institut nach Satz 1 verfügt über angemessene Eigenmittel, wenn es jederzeit Eigenmittel in einer Höhe hält, die den Vorgaben der nach dieser Verordnung anzuwendenden Berechnungsmethode entspricht.</w:t>
      </w:r>
    </w:p>
    <w:p>
      <w:r>
        <w:t xml:space="preserve">(2) Ein Institut im Sinne des Zahlungsdiensteaufsichtsgesetzes, das Zahlungsauslöse- oder Kontoinformationsdienste erbringt, hat ungeachtet des Betrags des Anfangskapitals nach § 12 Nummer 3 des Zahlungsdiensteaufsichtsgesetzes jederzeit eine erforderliche Absicherung für den Haftungsfall nach Maßgabe dieser Verordnung vorzuhalten. Ein Institut nach Satz 1 verfügt über eine erforderliche Absicherung für den Haftungsfall, wenn es diese jederzeit in einer Höhe vorhält, die den Vorgaben der nach dieser Verordnung anzuwendenden Kriterien entspricht.</w:t>
      </w:r>
    </w:p>
    <w:p>
      <w:r>
        <w:t xml:space="preserve">(3) Ein Zahlungsinstitut im Sinne des Zahlungsdiensteaufsichtsgesetzes, das nur Zahlungsauslösedienste erbringt, hat jederzeit den Betrag des Anfangskapitals nach § 12 Nummer 3 Buchstabe b des Zahlungsdiensteaufsichtsgesetzes weiterhin als angemessene Eigenmittel vorzuhalten.</w:t>
      </w:r>
    </w:p>
    <w:p>
      <w:r>
        <w:rPr>
          <w:color w:val="555555"/>
          <w:sz w:val="17"/>
        </w:rPr>
        <w:t xml:space="preserve">Zitiervorschlag: § 1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