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Ruhen der Approbation kann angeordnet werden, wenn</w:t>
      </w:r>
    </w:p>
    <w:p>
      <w:pPr>
        <w:ind w:left="420"/>
      </w:pPr>
      <w:r>
        <w:t xml:space="preserve">1. gegen den Zahnarzt wegen des Verdachts einer Straftat, aus der sich seine Unwürdigkeit oder Unzuverlässigkeit zur Ausübung des zahnärztlichen Berufs ergeben kann, ein Strafverfahren eingeleitet ist,</w:t>
      </w:r>
    </w:p>
    <w:p>
      <w:pPr>
        <w:ind w:left="420"/>
      </w:pPr>
      <w:r>
        <w:t xml:space="preserve">2. nachträglich die Voraussetzung nach § 2 Abs. 1 Satz 1 Nr. 3 weggefallen ist,</w:t>
      </w:r>
    </w:p>
    <w:p>
      <w:pPr>
        <w:ind w:left="420"/>
      </w:pPr>
      <w:r>
        <w:t xml:space="preserve">3. Zweifel bestehen, ob die Voraussetzung des § 2 Abs. 1 Satz 1 Nr. 3 noch erfüllt ist und der Zahnarzt sich weigert, sich einer von der zuständigen Behörde angeordneten amts- oder fachärztlichen Untersuchung zu unterziehen,</w:t>
      </w:r>
    </w:p>
    <w:p>
      <w:pPr>
        <w:ind w:left="420"/>
      </w:pPr>
      <w:r>
        <w:t xml:space="preserve">4. sich ergibt, dass der Zahnarzt nicht über die Kenntnisse der deutschen Sprache verfügt, die für die Ausübung der Berufstätigkeit in Deutschland erforderlich sind.</w:t>
      </w:r>
    </w:p>
    <w:p>
      <w:r>
        <w:t xml:space="preserve">(2) Die Anordnung ist aufzuheben, wenn ihre Voraussetzungen nicht mehr vorliegen.</w:t>
      </w:r>
    </w:p>
    <w:p>
      <w:r>
        <w:t xml:space="preserve">(3) Der Zahnarzt, dessen Approbation ruht, darf den zahnärztlichen Beruf nicht ausüben.</w:t>
      </w:r>
    </w:p>
    <w:p>
      <w:r>
        <w:rPr>
          <w:color w:val="555555"/>
          <w:sz w:val="17"/>
        </w:rPr>
        <w:t xml:space="preserve">Zitiervorschlag: § 5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