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ZHG</w:t>
      </w:r>
    </w:p>
    <w:p>
      <w:r>
        <w:rPr>
          <w:color w:val="555555"/>
          <w:sz w:val="18"/>
        </w:rPr>
        <w:t xml:space="preserve">Gesetz über die Ausübung der Zahnheilkunde</w:t>
      </w:r>
    </w:p>
    <w:p>
      <w:r>
        <w:rPr>
          <w:color w:val="555555"/>
          <w:sz w:val="18"/>
        </w:rPr>
        <w:t xml:space="preserve">Stand: 29.07.2026 (konsolidierte Textfassung, kein amtliches Inkrafttretensdatum)</w:t>
      </w:r>
    </w:p>
    <w:p>
      <w:r>
        <w:t xml:space="preserve">(1) Das Bundesministerium für Gesundheit regelt durch Rechtsverordnung mit Zustimmung des Bundesrates in einer Approbationsordnung für Zahnärzte unter Berücksichtigung von Artikel 34 der Richtlinie 2005/36/EG die Mindestanforderungen an das Studium der Zahnmedizin, das Nähere über die staatliche zahnärztliche Prüfung und die Approbation. Die Zulassung zur zahnärztlichen Prüfung darf vom Bestehen höchstens zweier Vorprüfungen abhängig gemacht werden. Für die Meldung zu den Prüfungen und zu den Vorprüfungen sind Fristen festzulegen. In der Rechtsverordnung ist ferner die Anrechnung von Hochschulausbildungen und Prüfungen, die innerhalb oder außerhalb des Geltungsbereichs dieses Gesetzes abgelegt werden, zu regeln.</w:t>
      </w:r>
    </w:p>
    <w:p>
      <w:r>
        <w:t xml:space="preserve">(2) In der Rechtsverordnung sind die Verfahren zur Prüfung der Voraussetzungen des § 2 Absatz 1 Satz 1 Nummer 2 und 3, insbesondere die Vorlage der vom Antragsteller vorzulegenden Nachweise und die Ermittlung durch die zuständigen Behörden entsprechend den Artikeln 8, 50, 51 und 56 der Richtlinie 2005/36/EG, die Fristen für die Erteilung der Approbation als Zahnarzt und die Ausstellung eines Europäischen Berufsausweises zu regeln.</w:t>
      </w:r>
    </w:p>
    <w:p>
      <w:r>
        <w:t xml:space="preserve">(2a) In der Rechtsverordnung sind Regelungen zu Durchführung und Inhalt der Eignungsprüfung nach § 12a Absatz 7 Satz 2 und der Kenntnisprüfung nach § 12b Absatz 2 und 3 sowie zu Erteilung und Verlängerung der Erlaubnis zur Ausübung der Zahnheilkunde nach § 13 und der Erlaubnis zur partiellen Ausübung der Zahnheilkunde nach § 13a vorzusehen. In der Rechtsverordnung können die für das jeweilige Verfahren erforderlichen Unterlagen geregelt werden.</w:t>
      </w:r>
    </w:p>
    <w:p>
      <w:r>
        <w:t xml:space="preserve">(2b) In der Rechtsverordnung ist darüber hinaus die Pflicht von Berufsqualifikationsinhabern zu regeln, nach Maßgabe des Artikels 52 Absatz 1 der Richtlinie 2005/36/EG die Berufsbezeichnung des Aufnahmestaats zu führen und eine Abkürzung zu verwenden.</w:t>
      </w:r>
    </w:p>
    <w:p>
      <w:r>
        <w:t xml:space="preserve">(3) Abweichungen von den in den Absätzen 1 bis 2b sowie der auf dieser Grundlage erlassenen Rechtsverordnung enthaltenen Regelungen des Verwaltungsverfahrens durch Landesrecht sind ausgeschlossen. Abweichend von Satz 1 können die Länder Abweichungen von den durch Rechtsverordnung im Falle des § 81a des Aufenthaltsgesetzes erlassenen Fristenregelungen vorsehen.</w:t>
      </w:r>
    </w:p>
    <w:p>
      <w:r>
        <w:rPr>
          <w:color w:val="555555"/>
          <w:sz w:val="17"/>
        </w:rPr>
        <w:t xml:space="preserve">Zitiervorschlag: § 3 ZHG</w:t>
      </w:r>
    </w:p>
    <w:p>
      <w:r>
        <w:rPr>
          <w:color w:val="555555"/>
          <w:sz w:val="17"/>
        </w:rPr>
        <w:t xml:space="preserve">Quelle: Bundesamt für Justiz, abgerufen 29.07.2026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https://recht.nulegal.eu/gesetze/ZHG/3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