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einem Jahr oder mit Geldstrafe wird bestraft,</w:t>
      </w:r>
    </w:p>
    <w:p>
      <w:pPr>
        <w:ind w:left="420"/>
      </w:pPr>
      <w:r>
        <w:t xml:space="preserve">1. wer die Zahnheilkunde ausübt, ohne eine Approbation oder Erlaubnis als Zahnarzt zu besitzen oder nach § 1 Abs. 2, § 14 oder § 19 zur Ausübung der Zahnheilkunde berechtigt zu sein,</w:t>
      </w:r>
    </w:p>
    <w:p>
      <w:pPr>
        <w:ind w:left="420"/>
      </w:pPr>
      <w:r>
        <w:t xml:space="preserve">2. wer die Zahnheilkunde ausübt, solange durch vollziehbare Verfügung das Ruhen der Approbation angeordnet ist.</w:t>
      </w:r>
    </w:p>
    <w:p>
      <w:r>
        <w:rPr>
          <w:color w:val="555555"/>
          <w:sz w:val="17"/>
        </w:rPr>
        <w:t xml:space="preserve">Zitiervorschlag: § 18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