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ZHG</w:t>
      </w:r>
    </w:p>
    <w:p>
      <w:r>
        <w:rPr>
          <w:color w:val="555555"/>
          <w:sz w:val="18"/>
        </w:rPr>
        <w:t xml:space="preserve">Gesetz über die Ausübung der Zahnheilkunde</w:t>
      </w:r>
    </w:p>
    <w:p>
      <w:r>
        <w:rPr>
          <w:color w:val="555555"/>
          <w:sz w:val="18"/>
        </w:rPr>
        <w:t xml:space="preserve">Stand: 10.06.2019 (konsolidierte Textfassung, kein amtliches Inkrafttretensdatum)</w:t>
      </w:r>
    </w:p>
    <w:p>
      <w:r>
        <w:t xml:space="preserve">Die §§ 8 bis 11 sind nur noch auf Anträge von Personen anwendbar, die alle in diesen Vorschriften vorgesehenen besonderen Voraussetzungen für eine Erteilung der Approbation als Zahnarzt am 27. Januar 1980 erfüllt hatten.</w:t>
      </w:r>
    </w:p>
    <w:p>
      <w:r>
        <w:rPr>
          <w:color w:val="555555"/>
          <w:sz w:val="17"/>
        </w:rPr>
        <w:t xml:space="preserve">Zitiervorschlag: § 11a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