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ZFdG 2021 — Allgemeine Datenverarbeitung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(1) Das Zollkriminalamt kann personenbezogene Daten verarbeiten, soweit dies zur Erfüllung seiner Aufgaben als Zentralstelle erforderlich ist und dieses Gesetz oder andere Rechtsvorschriften keine zusätzlichen Voraussetzungen vorsehen.</w:t>
      </w:r>
    </w:p>
    <w:p>
      <w:r>
        <w:t xml:space="preserve">(2) Das Zollkriminalamt kann personenbezogene Daten, die es selbst erhoben hat, weiterverarbeiten</w:t>
      </w:r>
    </w:p>
    <w:p>
      <w:pPr>
        <w:ind w:left="420"/>
      </w:pPr>
      <w:r>
        <w:t xml:space="preserve">1. zur Erfüllung derselben Aufgabe und</w:t>
      </w:r>
    </w:p>
    <w:p>
      <w:pPr>
        <w:ind w:left="420"/>
      </w:pPr>
      <w:r>
        <w:t xml:space="preserve">2. zum Schutz derselben Rechtsgüter oder zur Verfolgung oder Verhütung derselben Straftaten,</w:t>
      </w:r>
    </w:p>
    <w:p>
      <w:r>
        <w:t xml:space="preserve">wie es die jeweilige Erhebungsvorschrift erlaubt.</w:t>
      </w:r>
    </w:p>
    <w:p>
      <w:r>
        <w:t xml:space="preserve">(3) Das Zollkriminalamt kann personenbezogene Daten, die es selbst erhoben hat, zu anderen als in Absatz 2 genannten Zwecken, weiterverarbeiten, wenn dies durch Rechtsvorschriften zugelassen ist. Es darf personenbezogene Daten, die durch eine Maßnahme nach den §§ 47, 62, 72, 77 oder § 78 erhoben und ihm übermittelt worden sind, zu einem anderen als der jeweiligen Übermittlung zugrunde liegenden Zweck nur in entsprechender Anwendung des § 27 weiterverarbeiten.</w:t>
      </w:r>
    </w:p>
    <w:p>
      <w:r>
        <w:t xml:space="preserve">(4) Soweit Regelungen der Strafprozessordnung auf die Verarbeitung personenbezogener Daten anzuwenden sind, gehen diese den Vorschriften dieses Unterabschnittes vor.</w:t>
      </w:r>
    </w:p>
    <w:p>
      <w:r>
        <w:rPr>
          <w:color w:val="555555"/>
          <w:sz w:val="17"/>
        </w:rPr>
        <w:t xml:space="preserve">Zitiervorschlag: § 8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