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 ZFdG 2021 — Identifizierung und Lokalisierung von Mobilfunkkarten und Telekommunikationsendgeräten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Das Zollkriminalamt kann unter den Voraussetzungen des § 72 Absatz 1, 2 oder Absatz 4 durch technische Mittel Folgendes ermitteln:</w:t>
      </w:r>
    </w:p>
    <w:p>
      <w:pPr>
        <w:ind w:left="420"/>
      </w:pPr>
      <w:r>
        <w:t xml:space="preserve">1. die Gerätenummer eines Telekommunikationsendgeräts und die Kartennummer der darin verwendeten Karte sowie</w:t>
      </w:r>
    </w:p>
    <w:p>
      <w:pPr>
        <w:ind w:left="420"/>
      </w:pPr>
      <w:r>
        <w:t xml:space="preserve">2. den Standort eines Telekommunikationsendgeräts.</w:t>
      </w:r>
    </w:p>
    <w:p>
      <w:r>
        <w:t xml:space="preserve">(2) Personenbezogene Daten Dritter dürfen anlässlich einer Maßnahme nach Absatz 1 nur erhoben werden, wenn dies aus technischen Gründen zur Erreichung des Zwecks nach Absatz 1 unvermeidbar ist. Über den Datenabgleich zur Ermittlung der gesuchten Geräte- und Kartennummer hinaus dürfen sie nicht verarbeitet werden. Die personenbezogenen Daten Dritter sind nach Beendigung der Maßnahme unverzüglich zu löschen.</w:t>
      </w:r>
    </w:p>
    <w:p>
      <w:r>
        <w:t xml:space="preserve">(3) § 74 Absatz 1, 2, 5 Satz 1 und Absatz 7 Satz 8 gilt entsprechend. Die Anordnung ist auf höchstens sechs Monate zu befristen. Eine Verlängerung um jeweils nicht mehr als sechs Monate ist zulässig, soweit die in Absatz 1 bezeichneten Voraussetzungen fortbestehen.</w:t>
      </w:r>
    </w:p>
    <w:p>
      <w:r>
        <w:t xml:space="preserve">(4) Aufgrund der Anordnung einer Maßnahme nach Absatz 1 Nummer 2 hat jeder, der Telekommunikationsdienste erbringt oder daran mitwirkt, dem Zollkriminalamt die für die Ermittlung des Standortes des Telekommunikationsendgeräts erforderliche Geräte- und Kartennummer unverzüglich mitzuteilen.</w:t>
      </w:r>
    </w:p>
    <w:p>
      <w:r>
        <w:t xml:space="preserve">(5) § 75 Absatz 3 bis 5 sowie § 76 gelten entsprechend.</w:t>
      </w:r>
    </w:p>
    <w:p>
      <w:r>
        <w:rPr>
          <w:color w:val="555555"/>
          <w:sz w:val="17"/>
        </w:rPr>
        <w:t xml:space="preserve">Zitiervorschlag: § 78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