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ZFdG 2021 — Gewahrsam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(1) Die Behörden des Zollfahndungsdienstes können unter den Voraussetzungen des § 53 Absatz 1 eine Person in Gewahrsam nehmen, wenn dies unerlässlich ist,</w:t>
      </w:r>
    </w:p>
    <w:p>
      <w:pPr>
        <w:ind w:left="420"/>
      </w:pPr>
      <w:r>
        <w:t xml:space="preserve">1. um die unmittelbar bevorstehende Begehung einer Straftat gegen zu schützende Personen, zu sichernde Bedienstete oder zu schützende Vermögenswerte zu verhindern oder</w:t>
      </w:r>
    </w:p>
    <w:p>
      <w:pPr>
        <w:ind w:left="420"/>
      </w:pPr>
      <w:r>
        <w:t xml:space="preserve">2. um eine Platzverweisung nach § 58 durchzusetzen.</w:t>
      </w:r>
    </w:p>
    <w:p>
      <w:r>
        <w:t xml:space="preserve">(2) § 40 Absatz 1 und 2 sowie die §§ 41 und 42 Absatz 1 Satz 1 und Absatz 2 des Bundespolizeigesetzes gelten entsprechend.</w:t>
      </w:r>
    </w:p>
    <w:p>
      <w:r>
        <w:rPr>
          <w:color w:val="555555"/>
          <w:sz w:val="17"/>
        </w:rPr>
        <w:t xml:space="preserve">Zitiervorschlag: § 61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