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ZFdG 2021 — Behördlicher Eigenschutz</w:t>
      </w:r>
    </w:p>
    <w:p>
      <w:r>
        <w:rPr>
          <w:color w:val="555555"/>
          <w:sz w:val="18"/>
        </w:rPr>
        <w:t xml:space="preserve">Zollfahndungsdienstgesetz</w:t>
      </w:r>
    </w:p>
    <w:p>
      <w:r>
        <w:rPr>
          <w:color w:val="555555"/>
          <w:sz w:val="18"/>
        </w:rPr>
        <w:t xml:space="preserve">Stand: 02.04.2021 (konsolidierte Textfassung, kein amtliches Inkrafttretensdatum)</w:t>
      </w:r>
    </w:p>
    <w:p>
      <w:r>
        <w:t xml:space="preserve">(1) Den Behörden des Zollfahndungsdienstes obliegt die Sicherung ihrer Liegenschaften, sonstigen Einrichtungen und eigenen Veranstaltungen gegen Gefahren, welche die Erfüllung ihrer Aufgaben beeinträchtigen. Die Sicherung beschränkt sich auf die in Satz 1 bezeichneten Liegenschaften und Einrichtungen sowie auf die Grundstücke, auf denen diese Liegenschaften und Einrichtungen untergebracht sind oder Veranstaltungen stattfinden.</w:t>
      </w:r>
    </w:p>
    <w:p>
      <w:r>
        <w:t xml:space="preserve">(2) Den Behörden des Zollfahndungsdienstes obliegt die Sicherung ihres Dienstbetriebs gegen Gefahren, die von Personen ausgehen können, die für sie tätig werden sollen.</w:t>
      </w:r>
    </w:p>
    <w:p>
      <w:r>
        <w:rPr>
          <w:color w:val="555555"/>
          <w:sz w:val="17"/>
        </w:rPr>
        <w:t xml:space="preserve">Zitiervorschlag: § 6 ZFdG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https://recht.nulegal.eu/gesetze/ZFdG%202021/6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