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ZFdG 2021 — Durchsuchung von Personen und Sachen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unter den Voraussetzungen des § 53 Absatz 1 eine Person oder eine Sache durchsuchen, wenn</w:t>
      </w:r>
    </w:p>
    <w:p>
      <w:pPr>
        <w:ind w:left="420"/>
      </w:pPr>
      <w:r>
        <w:t xml:space="preserve">1. sich die Person in unmittelbarer Nähe zu schützender Personen, zu sichernder Bediensteter oder zu schützender Vermögenswerte aufhält oder die Sache sich in unmittelbarer Nähe zu schützender Personen, zu sichernder Bediensteter oder zu schützender Vermögenswerte befindet und</w:t>
      </w:r>
    </w:p>
    <w:p>
      <w:pPr>
        <w:ind w:left="420"/>
      </w:pPr>
      <w:r>
        <w:t xml:space="preserve">2. die Durchsuchung aufgrund der Gefährdungslage oder aufgrund von auf die Person oder Sache bezogenen Anhaltspunkten erforderlich ist.</w:t>
      </w:r>
    </w:p>
    <w:p>
      <w:r>
        <w:t xml:space="preserve">(2) Personen dürfen nur von Personen gleichen Geschlechts oder von Ärztinnen oder Ärzten durchsucht werden; dies gilt nicht, wenn eine sofortige Durchsuchung zum Schutz gegen eine Gefahr für Leib oder Leben erforderlich ist.</w:t>
      </w:r>
    </w:p>
    <w:p>
      <w:r>
        <w:t xml:space="preserve">(3) Personen dürfen festgehalten und zur Dienststelle mitgenommen werden, wenn die Durchsuchung auf andere Weise nicht oder nur unter erheblichen Schwierigkeiten durchgeführt werden kann.</w:t>
      </w:r>
    </w:p>
    <w:p>
      <w:r>
        <w:t xml:space="preserve">(4) Bei der Durchsuchung einer Sache hat der Inhaber der tatsächlichen Gewalt das Recht, anwesend zu sein. Ist er abwesend, soll sein Vertreter oder ein anderer Zeuge hinzugezogen werden. Dem Inhaber der tatsächlichen Gewalt ist auf Verlangen eine Bescheinigung über die Durchsuchung und ihren Grund zu erteilen.</w:t>
      </w:r>
    </w:p>
    <w:p>
      <w:r>
        <w:rPr>
          <w:color w:val="555555"/>
          <w:sz w:val="17"/>
        </w:rPr>
        <w:t xml:space="preserve">Zitiervorschlag: § 56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