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51 ZFdG 2021 — Löschung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Stand: 02.04.2021 (konsolidierte Textfassung, kein amtliches Inkrafttretensdatum)</w:t>
      </w:r>
    </w:p>
    <w:p>
      <w:r>
        <w:t xml:space="preserve">Personenbezogene Daten, die durch eine Maßnahme nach § 47 Absatz 1 erlangt worden sind, sind unverzüglich zu löschen, soweit sie</w:t>
      </w:r>
    </w:p>
    <w:p>
      <w:pPr>
        <w:ind w:left="420"/>
      </w:pPr>
      <w:r>
        <w:t xml:space="preserve">1. für den der Erhebung zugrunde liegenden Zweck nicht erforderlich sind,</w:t>
      </w:r>
    </w:p>
    <w:p>
      <w:pPr>
        <w:ind w:left="420"/>
      </w:pPr>
      <w:r>
        <w:t xml:space="preserve">2. nach Maßgabe der Strafprozessordnung zur Verfolgung einer Straftat nicht benötigt werden oder</w:t>
      </w:r>
    </w:p>
    <w:p>
      <w:pPr>
        <w:ind w:left="420"/>
      </w:pPr>
      <w:r>
        <w:t xml:space="preserve">3. nicht mehr für eine Benachrichtigung nach § 93 von Bedeutung sind.</w:t>
      </w:r>
    </w:p>
    <w:p>
      <w:r>
        <w:t xml:space="preserve">Die Löschung ist zu protokollieren. Daten, die nur zum Zwecke einer Benachrichtigung nach § 93 gespeichert bleiben, sind in ihrer Verarbeitung einzuschränken; sie dürfen ohne Einwilligung der Betroffenen nur zu diesem Zweck verarbeitet werden.</w:t>
      </w:r>
    </w:p>
    <w:p>
      <w:r>
        <w:rPr>
          <w:color w:val="555555"/>
          <w:sz w:val="17"/>
        </w:rPr>
        <w:t xml:space="preserve">Zitiervorschlag: § 51 ZFdG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https://recht.nulegal.eu/gesetze/ZFdG%202021/51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