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ZFdG 2021 — Aufhebung der Sicherstellung, Einziehung, Verwertung, Vernichtung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Kann der Inhaber der tatsächlichen Gewalt oder der Eigentümer der sichergestellten Sache vorbehaltlich des Absatzes 2 Satz 2 innerhalb einer Frist von zwei Jahren, beginnend ab dem Zeitpunkt der Sicherstellung, eine Verwendung der sichergestellten Sache nachweisen, die keine Gefahr im Sinne des § 40 Absatz 1 Nummer 1 und 2 begründet, hebt die Behörde des Zollfahndungsdienstes, die die Sicherstellung veranlasst hat, die Sicherstellung auf. Die Frist kann auf Antrag der in Satz 1 genannten Personen um sechs Monate, in begründeten Fällen um weitere sechs Monate, verlängert werden.</w:t>
      </w:r>
    </w:p>
    <w:p>
      <w:r>
        <w:t xml:space="preserve">(2) Wird innerhalb der in Absatz 1 genannten Fristen die bestehende Gefahr durch den Betroffenen oder den Eigentümer nicht beseitigt, darf die Behörde des Zollfahndungsdienstes, die die Sicherstellung ausgesprochen hat, die Sache einziehen. Abweichend von Satz 1 kann die Einziehung bereits zu dem Zeitpunkt erfolgen, zu dem aufgrund bestimmter Tatsachen absehbar ist, dass eine Aufhebung der Sicherstellung nach Absatz 1 nicht erfolgen kann. Die Einziehung ist dem Betroffenen und dem Eigentümer unverzüglich schriftlich bekanntzugeben.</w:t>
      </w:r>
    </w:p>
    <w:p>
      <w:r>
        <w:t xml:space="preserve">(3) Die eingezogene Sache ist grundsätzlich im Wege der öffentlichen Versteigerung zu verwerten; neben der Versteigerung vor Ort kann die öffentliche Versteigerung als allgemein zugängliche Versteigerung im Internet über die Plattform www.zoll-auktion.de erfolgen. § 296 Absatz 1 Satz 1 und 3 der Abgabenordnung gilt entsprechend. Der Erlös tritt an die Stelle der verwerteten Sache. Die eingezogene Sache ist zu vernichten, wenn</w:t>
      </w:r>
    </w:p>
    <w:p>
      <w:pPr>
        <w:ind w:left="420"/>
      </w:pPr>
      <w:r>
        <w:t xml:space="preserve">1. die Versteigerung erfolglos bleibt,</w:t>
      </w:r>
    </w:p>
    <w:p>
      <w:pPr>
        <w:ind w:left="420"/>
      </w:pPr>
      <w:r>
        <w:t xml:space="preserve">2. die Versteigerung von vornherein aussichtslos oder unwirtschaftlich ist oder</w:t>
      </w:r>
    </w:p>
    <w:p>
      <w:pPr>
        <w:ind w:left="420"/>
      </w:pPr>
      <w:r>
        <w:t xml:space="preserve">3. im Falle der Verwertung die Voraussetzungen für die Einziehung mit hoher Wahrscheinlichkeit erneut eintreten würden</w:t>
      </w:r>
    </w:p>
    <w:p>
      <w:r>
        <w:t xml:space="preserve">und andere gesetzliche Bestimmungen der Vernichtung nicht entgegenstehen. In begründeten Einzelfällen darf von der Verwertung und Vernichtung der Sache Abstand genommen und die Sache in Übereinstimmung mit den Bestimmungen des Haushaltsrechts einer anderen Zweckbestimmung zugeführt werden.</w:t>
      </w:r>
    </w:p>
    <w:p>
      <w:r>
        <w:t xml:space="preserve">(4) Im Übrigen gilt § 49 des Bundespolizeigesetzes entsprechend.</w:t>
      </w:r>
    </w:p>
    <w:p>
      <w:r>
        <w:rPr>
          <w:color w:val="555555"/>
          <w:sz w:val="17"/>
        </w:rPr>
        <w:t xml:space="preserve">Zitiervorschlag: § 42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