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ZFdG 2021 — Sicherstellung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Behörden des Zollfahndungsdienstes können im Zuständigkeitsbereich der Zollverwaltung</w:t>
      </w:r>
    </w:p>
    <w:p>
      <w:pPr>
        <w:ind w:left="420"/>
      </w:pPr>
      <w:r>
        <w:t xml:space="preserve">1. eine Sache sicherstellen, um eine gegenwärtige Gefahr für die in § 4 Absatz 1 des Außenwirtschaftsgesetzes genannten Rechtsgüter abzuwehren; die §§ 6 und 7 des Außenwirtschaftsgesetzes bleiben unberührt,</w:t>
      </w:r>
    </w:p>
    <w:p>
      <w:pPr>
        <w:ind w:left="420"/>
      </w:pPr>
      <w:r>
        <w:t xml:space="preserve">2. eine Sache sicherstellen, um eine gegenwärtige Gefahr im Übrigen abzuwehren, oder</w:t>
      </w:r>
    </w:p>
    <w:p>
      <w:pPr>
        <w:ind w:left="420"/>
      </w:pPr>
      <w:r>
        <w:t xml:space="preserve">3. eine Sache sicherstellen, um den Eigentümer oder den rechtmäßigen Inhaber der tatsächlichen Gewalt vor Verlust oder Beschädigung einer Sache zu schützen.</w:t>
      </w:r>
    </w:p>
    <w:p>
      <w:r>
        <w:t xml:space="preserve">(2) Die Sicherstellung begründet ein unmittelbares Verfügungsverbot.</w:t>
      </w:r>
    </w:p>
    <w:p>
      <w:r>
        <w:rPr>
          <w:color w:val="555555"/>
          <w:sz w:val="17"/>
        </w:rPr>
        <w:t xml:space="preserve">Zitiervorschlag: § 40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