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33a ZFdG 2021 — Daten für Zwecke der Ausschreibung zur Ermittlungsanfrage oder zur verdeckten Kontrolle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28.12.2022 (konsolidierte Textfassung, kein amtliches Inkrafttretensdatum)</w:t>
      </w:r>
    </w:p>
    <w:p>
      <w:r>
        <w:t xml:space="preserve">(1) Die Behörden des Zollfahndungsdienstes können zur Erfüllung ihrer Aufgaben zur Verhütung von Straftaten nach § 4 und § 5 eine Person, eine Sache oder bargeldlose Zahlungsmittel zur Ermittlungsanfrage oder zur verdeckten Kontrolle in den nationalen Fahndungssystemen ausschreiben, wenn die Voraussetzungen des Artikels 36 Absatz 1 und 3 Buchstabe a oder c der Verordnung (EU) 2018/1862 vorliegen.</w:t>
      </w:r>
    </w:p>
    <w:p>
      <w:r>
        <w:t xml:space="preserve">(2) Die Ausschreibung zur verdeckten Kontrolle darf nur auf Anordnung der jeweiligen Behördenleitung oder ihrer Vertretung erfolgen. Bei Gefahr im Verzug darf die Ausschreibung nach Satz 1 auch durch Beamte des höheren Dienstes des Zollkriminalamtes angeordnet werden.</w:t>
      </w:r>
    </w:p>
    <w:p>
      <w:r>
        <w:t xml:space="preserve">(3) Die Ausschreibung ist unter Angabe der maßgeblichen Gründe zu dokumentieren.</w:t>
      </w:r>
    </w:p>
    <w:p>
      <w:r>
        <w:rPr>
          <w:color w:val="555555"/>
          <w:sz w:val="17"/>
        </w:rPr>
        <w:t xml:space="preserve">Zitiervorschlag: § 33a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https://recht.nulegal.eu/gesetze/ZFdG%202021/33a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