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ZFdG 2021 — Kennzeichnung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Personenbezogene Daten, die durch eine Maßnahme nach § 10 Absatz 2 und 3, § 30 Absatz 2 bis 4, den §§ 47, 62, 72, 77 oder § 78 erhoben worden sind, sind entsprechend zu kennzeichnen.</w:t>
      </w:r>
    </w:p>
    <w:p>
      <w:r>
        <w:t xml:space="preserve">(2) Personenbezogene Daten nach Absatz 1, die nicht entsprechend gekennzeichnet sind, dürfen nicht verarbeitet oder übermittelt werden.</w:t>
      </w:r>
    </w:p>
    <w:p>
      <w:r>
        <w:t xml:space="preserve">(3) Nach einer Übermittlung an eine andere Stelle ist die Kennzeichnung durch diese aufrechtzuerhalten.</w:t>
      </w:r>
    </w:p>
    <w:p>
      <w:r>
        <w:rPr>
          <w:color w:val="555555"/>
          <w:sz w:val="17"/>
        </w:rPr>
        <w:t xml:space="preserve">Zitiervorschlag: § 28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