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ZFdG 2021 — Daten für Zwecke der Ausschreibung zur Ermittlungsanfrage oder zur verdeckten Kontrolle</w:t>
      </w:r>
    </w:p>
    <w:p>
      <w:r>
        <w:rPr>
          <w:color w:val="555555"/>
          <w:sz w:val="18"/>
        </w:rPr>
        <w:t xml:space="preserve">Zollfahndungsdienstgesetz</w:t>
      </w:r>
    </w:p>
    <w:p>
      <w:r>
        <w:rPr>
          <w:color w:val="555555"/>
          <w:sz w:val="18"/>
        </w:rPr>
        <w:t xml:space="preserve">Stand: 28.12.2022 (konsolidierte Textfassung, kein amtliches Inkrafttretensdatum)</w:t>
      </w:r>
    </w:p>
    <w:p>
      <w:r>
        <w:t xml:space="preserve">(1) Das Zollkriminalamt kann zur Erfüllung seiner Aufgaben zur Verhütung von Straftaten nach § 3 Absatz 1 Nummer 2 eine Person, eine Sache oder bargeldlose Zahlungsmittel zur Ermittlungsanfrage oder zur verdeckten Kontrolle in den nationalen Fahndungssystemen ausschreiben und zur Erfüllung seiner Aufgaben nach § 3 Absatz 4 personenbezogene Daten für Zwecke der Ausschreibung verarbeiten, wenn die Voraussetzungen des Artikels 36 Absatz 1 und 3 Buchstabe a oder c der Verordnung (EU) 2018/1862 des Europäischen Parlaments und des Rates vom 28. November 2018 über die Einrichtung, den Betrieb und die Nutzung des Schengener Informationssystems (SIS) im Bereich der polizeilichen Zusammenarbeit und der justiziellen Zusammenarbeit in Strafsachen, zur Änderung und Aufhebung des Beschlusses 2007/533/JI des Rates und zur Aufhebung der Verordnung (EG) Nr. 1986/2006 des Europäischen Parlaments und des Rates und des Beschlusses 2010/261/EU der Kommission (ABl. L 312 vom 7.12.2018, S. 56) vorliegen. § 14 Absatz 3 gilt entsprechend.</w:t>
      </w:r>
    </w:p>
    <w:p>
      <w:r>
        <w:t xml:space="preserve">(2) Eigene Ausschreibungen des Zollkriminalamtes zur Erfüllung seiner Aufgaben zur Verhütung von Straftaten nach § 3 Absatz 1 Nummer 2 zur verdeckten Kontrolle dürfen nur auf Anordnung der Präsidentin oder des Präsidenten des Zollkriminalamtes, ihrer oder seiner Vertretung, oder durch die Leiterin oder den Leiter einer Abteilung des Zollkriminalamtes oder ihrer Vertretung erfolgen. Bei Gefahr im Verzug darf die Ausschreibung nach Satz 1 auch durch Beamte des höheren Dienstes des Zollkriminalamtes angeordnet werden.</w:t>
      </w:r>
    </w:p>
    <w:p>
      <w:r>
        <w:t xml:space="preserve">(3) Die Ausschreibung ist unter Angabe der maßgeblichen Gründe zu dokumentieren.</w:t>
      </w:r>
    </w:p>
    <w:p>
      <w:r>
        <w:rPr>
          <w:color w:val="555555"/>
          <w:sz w:val="17"/>
        </w:rPr>
        <w:t xml:space="preserve">Zitiervorschlag: § 14a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