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ZFdG 2021 — Übergangsvorschrift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Für automatisierte Dateisysteme, die vor dem 6. Mai 2016 eingerichtet worden sind, ist § 11 Absatz 4 Satz 1 bis 3 des Zollfahndungsdienstgesetzes vom 16. August 2002 (BGBl. I S. 3202), in der bis zum 1. April 2021 geltenden Fassung bis zum 5. Mai 2023 weiter anzuwenden, es sei denn, es erfolgt bereits zuvor eine Protokollierung nach § 76 des Bundesdatenschutzgesetzes in Verbindung mit § 91 dieses Gesetzes.</w:t>
      </w:r>
    </w:p>
    <w:p>
      <w:r>
        <w:t xml:space="preserve">(2) Die am 1. April 2021 geltenden Errichtungsanordnungen nach § 41 des Zollfahndungsdienstgesetzes vom 16. August 2002 (BGBl. I S. 3202) in der bis zum 1. April 2021 geltenden Fassung gelten fort, bis sie durch eine Errichtungsanordnung nach § 90 ersetzt worden sind, jedoch längstens bis zum 5. Mai 2023. Im Übrigen bleiben die Bestimmungen zur Verarbeitung personenbezogener Daten nach diesem Gesetz sowie dem Bundesdatenschutzgesetz unberührt.</w:t>
      </w:r>
    </w:p>
    <w:p>
      <w:r>
        <w:rPr>
          <w:color w:val="555555"/>
          <w:sz w:val="17"/>
        </w:rPr>
        <w:t xml:space="preserve">Zitiervorschlag: § 108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