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ZFdG 2021 — Verordnungsermächtigung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Die Landesregierungen werden ermächtigt, die Zuständigkeit des Amtsgerichts nach</w:t>
      </w:r>
    </w:p>
    <w:p>
      <w:pPr>
        <w:ind w:left="420"/>
      </w:pPr>
      <w:r>
        <w:t xml:space="preserve">1. § 46 Absatz 3 Satz 2,</w:t>
      </w:r>
    </w:p>
    <w:p>
      <w:pPr>
        <w:ind w:left="420"/>
      </w:pPr>
      <w:r>
        <w:t xml:space="preserve">2. § 50 Absatz 1 Satz 1, auch in Verbindung mit § 10 Absatz 3 Satz 5, § 30 Absatz 3 Satz 5 oder § 62 Absatz 5 Satz 3,</w:t>
      </w:r>
    </w:p>
    <w:p>
      <w:pPr>
        <w:ind w:left="420"/>
      </w:pPr>
      <w:r>
        <w:t xml:space="preserve">3. § 60 Absatz 3 Satz 2,</w:t>
      </w:r>
    </w:p>
    <w:p>
      <w:pPr>
        <w:ind w:left="420"/>
      </w:pPr>
      <w:r>
        <w:t xml:space="preserve">4. § 93 Absatz 3 Satz 6 und</w:t>
      </w:r>
    </w:p>
    <w:p>
      <w:pPr>
        <w:ind w:left="420"/>
      </w:pPr>
      <w:r>
        <w:t xml:space="preserve">5. § 94 Absatz 3 Satz 5</w:t>
      </w:r>
    </w:p>
    <w:p>
      <w:r>
        <w:t xml:space="preserve">durch Rechtsverordnung einem anderen Amtsgericht zu übertragen. Die Landesregierungen können die Ermächtigung durch Rechtsverordnung auf die Landesjustizverwaltungen übertragen.</w:t>
      </w:r>
    </w:p>
    <w:p>
      <w:r>
        <w:rPr>
          <w:color w:val="555555"/>
          <w:sz w:val="17"/>
        </w:rPr>
        <w:t xml:space="preserve">Zitiervorschlag: § 107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