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 ZFdG 2021 — Bußgeldvorschriften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9 Absatz 2 Satz 1, auch in Verbindung mit § 9 Absatz 2 Satz 2 Nummer 1, jeweils auch in Verbindung mit</w:t>
      </w:r>
    </w:p>
    <w:p>
      <w:pPr>
        <w:ind w:left="780"/>
      </w:pPr>
      <w:r>
        <w:t xml:space="preserve">a) § 29 oder</w:t>
      </w:r>
    </w:p>
    <w:p>
      <w:pPr>
        <w:ind w:left="780"/>
      </w:pPr>
      <w:r>
        <w:t xml:space="preserve">b) § 71 Satz 1</w:t>
      </w:r>
    </w:p>
    <w:p>
      <w:pPr>
        <w:ind w:left="420"/>
      </w:pPr>
      <w:r>
        <w:t xml:space="preserve">eine Auskunft nicht, nicht richtig, nicht vollständig oder nicht rechtzeitig erteilt,</w:t>
      </w:r>
    </w:p>
    <w:p>
      <w:pPr>
        <w:ind w:left="420"/>
      </w:pPr>
      <w:r>
        <w:t xml:space="preserve">2. entgegen § 71 Satz 2 eine Unterlage nicht, nicht richtig, nicht vollständig oder nicht rechtzeitig herausgibt,</w:t>
      </w:r>
    </w:p>
    <w:p>
      <w:pPr>
        <w:ind w:left="420"/>
      </w:pPr>
      <w:r>
        <w:t xml:space="preserve">3. einer vollziehbaren Anordnung nach</w:t>
      </w:r>
    </w:p>
    <w:p>
      <w:pPr>
        <w:ind w:left="780"/>
      </w:pPr>
      <w:r>
        <w:t xml:space="preserve">a) § 72 Absatz 7 in Verbindung mit § 2 Absatz 1 Satz 1 oder Absatz 1a Satz 1 Nummer 2 des Artikel 10-Gesetzes,</w:t>
      </w:r>
    </w:p>
    <w:p>
      <w:pPr>
        <w:ind w:left="780"/>
      </w:pPr>
      <w:r>
        <w:t xml:space="preserve">b) § 72 Absatz 7 in Verbindung mit § 2 Absatz 1a Satz 1 Nummer 3 über das Ermöglichen der Überwachung oder Aufzeichnung der Telekommunikation,</w:t>
      </w:r>
    </w:p>
    <w:p>
      <w:pPr>
        <w:ind w:left="780"/>
      </w:pPr>
      <w:r>
        <w:t xml:space="preserve">c) § 72 Absatz 7 oder § 77 Absatz 4, jeweils in Verbindung mit § 2 Absatz 1a Satz 1 Nummer 1 des Artikel 10-Gesetzes,, oder</w:t>
      </w:r>
    </w:p>
    <w:p>
      <w:pPr>
        <w:ind w:left="780"/>
      </w:pPr>
      <w:r>
        <w:t xml:space="preserve">d) § 78 Absatz 4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4. entgegen § 72 Absatz 7 in Verbindung mit § 2 Absatz 2 Satz 2 des Artikel 10-Gesetzes eine Person betraut oder</w:t>
      </w:r>
    </w:p>
    <w:p>
      <w:pPr>
        <w:ind w:left="420"/>
      </w:pPr>
      <w:r>
        <w:t xml:space="preserve">5. entgegen § 72 Absatz 7 in Verbindung mit § 2 Absatz 2 Satz 4 des Artikel 10-Gesetzes nicht sicherstellt, dass eine Geheimschutzmaßnahme getroffen wird.</w:t>
      </w:r>
    </w:p>
    <w:p>
      <w:r>
        <w:t xml:space="preserve">(2) Die Ordnungswidrigkeit kann mit einer Geldbuße bis zu zwanzigtausend Euro geahndet werden.</w:t>
      </w:r>
    </w:p>
    <w:p>
      <w:r>
        <w:t xml:space="preserve">(3) Verwaltungsbehörde im Sinne des § 36 Absatz 1 Nummer 1 des Gesetzes über Ordnungswidrigkeiten ist in Fällen des Absatzes 1 Nummer 1 Buchstabe a das Hauptzollamt und in den übrigen Fällen des Absatzes 1 das Zollkriminalamt.</w:t>
      </w:r>
    </w:p>
    <w:p>
      <w:r>
        <w:rPr>
          <w:color w:val="555555"/>
          <w:sz w:val="17"/>
        </w:rPr>
        <w:t xml:space="preserve">Zitiervorschlag: § 106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